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7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6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118" w:beforeLines="350" w:after="799" w:afterLines="250" w:line="480" w:lineRule="auto"/>
              <w:textAlignment w:val="auto"/>
              <w:rPr>
                <w:rFonts w:ascii="仿宋" w:hAnsi="仿宋" w:eastAsia="仿宋" w:cs="仿宋"/>
                <w:color w:val="FF0000"/>
                <w:sz w:val="32"/>
                <w:szCs w:val="32"/>
                <w:vertAlign w:val="baseline"/>
              </w:rPr>
            </w:pPr>
            <w:r>
              <w:rPr>
                <w:rFonts w:hint="eastAsia" w:ascii="方正小标宋简体" w:hAnsi="方正小标宋简体" w:eastAsia="方正小标宋简体" w:cs="方正小标宋简体"/>
                <w:color w:val="FF0000"/>
                <w:spacing w:val="-40"/>
                <w:sz w:val="96"/>
                <w:szCs w:val="96"/>
              </w:rPr>
              <w:t>泉州职业技术大学文件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061" w:type="dxa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jc w:val="center"/>
              <w:textAlignment w:val="auto"/>
              <w:rPr>
                <w:rFonts w:ascii="仿宋" w:hAnsi="仿宋" w:eastAsia="仿宋" w:cs="仿宋"/>
                <w:color w:val="FF0000"/>
                <w:sz w:val="32"/>
                <w:szCs w:val="32"/>
                <w:vertAlign w:val="baseline"/>
              </w:rPr>
            </w:pPr>
            <w:r>
              <w:rPr>
                <w:rFonts w:hint="eastAsia" w:ascii="仿宋_GB2312" w:hAnsi="仿宋_GB2312" w:eastAsia="仿宋_GB2312" w:cs="仿宋_GB2312"/>
                <w:sz w:val="32"/>
              </w:rPr>
              <w:t>泉大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</w:rPr>
              <w:t>〔202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2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</w:rPr>
              <w:t>〕</w:t>
            </w:r>
            <w:r>
              <w:rPr>
                <w:rFonts w:hint="eastAsia" w:ascii="仿宋_GB2312" w:hAnsi="仿宋_GB2312" w:eastAsia="仿宋_GB2312" w:cs="仿宋_GB2312"/>
                <w:sz w:val="32"/>
                <w:szCs w:val="32"/>
                <w:lang w:val="en-US" w:eastAsia="zh-CN"/>
              </w:rPr>
              <w:t>94</w:t>
            </w:r>
            <w:r>
              <w:rPr>
                <w:rFonts w:hint="eastAsia" w:ascii="仿宋_GB2312" w:hAnsi="仿宋_GB2312" w:eastAsia="仿宋_GB2312" w:cs="仿宋_GB2312"/>
                <w:sz w:val="32"/>
              </w:rPr>
              <w:t>号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25" w:beforeLines="200" w:after="320" w:afterLines="100" w:line="600" w:lineRule="exact"/>
        <w:jc w:val="center"/>
        <w:textAlignment w:val="auto"/>
        <w:outlineLvl w:val="9"/>
        <w:rPr>
          <w:rFonts w:hint="default" w:ascii="方正小标宋简体" w:hAnsi="方正小标宋简体" w:eastAsia="方正小标宋简体" w:cs="方正小标宋简体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6350</wp:posOffset>
                </wp:positionH>
                <wp:positionV relativeFrom="paragraph">
                  <wp:posOffset>51435</wp:posOffset>
                </wp:positionV>
                <wp:extent cx="5615940" cy="28575"/>
                <wp:effectExtent l="6350" t="6350" r="16510" b="2222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772795" y="2382520"/>
                          <a:ext cx="5615940" cy="2857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flip:y;margin-left:0.5pt;margin-top:4.05pt;height:2.25pt;width:442.2pt;z-index:251660288;v-text-anchor:middle;mso-width-relative:page;mso-height-relative:page;" fillcolor="#FF0000" filled="t" stroked="t" coordsize="21600,21600" o:gfxdata="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">
                <v:fill on="t" focussize="0,0"/>
                <v:stroke weight="1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关于印发《泉州职业技术大学教师教学质量评价管理办法（试行）》的通知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0" w:firstLineChars="0"/>
        <w:textAlignment w:val="auto"/>
        <w:outlineLvl w:val="9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各有关单位：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0" w:leftChars="0" w:right="0" w:rightChars="0" w:firstLine="624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为贯彻落实中共中央、国务院《深化新时代教育评价改革总体方案》，教育部《关于加快建设高水平本科教育 全面提高人才培养能力的意见》《新时代高校教师职业行为十项准则》等文件精神，建立先进的教学质量保证体系，开展科学的教师教学质量评价工作，现将《泉州职业技术大学教师教学质量评价管理办法（试行）》印发给你们，请认真贯彻执行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958" w:beforeLines="300" w:line="560" w:lineRule="exact"/>
        <w:ind w:firstLine="3900" w:firstLineChars="1250"/>
        <w:jc w:val="center"/>
        <w:textAlignment w:val="auto"/>
        <w:outlineLvl w:val="9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泉州职业技术大学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/>
        <w:adjustRightInd/>
        <w:snapToGrid/>
        <w:spacing w:line="560" w:lineRule="exact"/>
        <w:ind w:firstLine="1248" w:firstLineChars="400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2022年10月12日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right="0" w:rightChars="0"/>
        <w:jc w:val="both"/>
        <w:textAlignment w:val="auto"/>
        <w:outlineLvl w:val="9"/>
        <w:rPr>
          <w:rFonts w:hint="eastAsia" w:ascii="黑体" w:hAnsi="黑体" w:eastAsia="黑体" w:cs="黑体"/>
          <w:sz w:val="32"/>
          <w:szCs w:val="32"/>
          <w:lang w:eastAsia="zh-CN"/>
        </w:rPr>
      </w:pPr>
    </w:p>
    <w:p>
      <w:pPr>
        <w:rPr>
          <w:rFonts w:hint="eastAsia" w:ascii="黑体" w:hAnsi="黑体" w:eastAsia="黑体" w:cs="黑体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sz w:val="32"/>
          <w:szCs w:val="32"/>
          <w:lang w:eastAsia="zh-CN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20" w:beforeLines="100" w:line="600" w:lineRule="exact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方正小标宋简体" w:hAnsi="方正小标宋简体" w:eastAsia="方正小标宋简体" w:cs="方正小标宋简体"/>
          <w:b w:val="0"/>
          <w:bCs/>
          <w:sz w:val="44"/>
          <w:szCs w:val="44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sz w:val="44"/>
          <w:szCs w:val="44"/>
          <w:lang w:eastAsia="zh-CN"/>
        </w:rPr>
        <w:t>泉州职业技术大学教师教学质量评价管理办法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320" w:afterLines="100" w:line="600" w:lineRule="exact"/>
        <w:ind w:left="0" w:leftChars="0" w:right="0" w:rightChars="0" w:firstLine="0" w:firstLineChars="0"/>
        <w:jc w:val="center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sz w:val="44"/>
          <w:szCs w:val="44"/>
          <w:lang w:eastAsia="zh-CN"/>
        </w:rPr>
        <w:t>（试行）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left="0" w:leftChars="0" w:right="0" w:rightChars="0" w:firstLine="624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为贯彻落实中共中央、国务院《深化新时代教育评价改革总体方案》，教育部《关于加快建设高水平本科教育 全面提高人才培养能力的意见》《新时代高校教师职业行为十项准则》等文件精神，建立先进的教学质量保证体系，开展科学的教师教学质量评价工作，引导和激励教师积极投入教学、潜心研究教学、改革创新教学，促进教师教学水平和人才培养质量提高，结合我校实际，特制定本办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 w:after="161" w:afterLines="50" w:line="540" w:lineRule="exact"/>
        <w:ind w:firstLine="0" w:firstLineChars="0"/>
        <w:jc w:val="center"/>
        <w:textAlignment w:val="auto"/>
        <w:outlineLvl w:val="9"/>
        <w:rPr>
          <w:rFonts w:eastAsia="黑体" w:cs="黑体"/>
          <w:sz w:val="32"/>
          <w:szCs w:val="32"/>
        </w:rPr>
      </w:pPr>
      <w:r>
        <w:rPr>
          <w:rFonts w:hint="eastAsia" w:eastAsia="黑体" w:cs="黑体"/>
          <w:sz w:val="32"/>
          <w:szCs w:val="32"/>
        </w:rPr>
        <w:t>第一章  总则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jc w:val="both"/>
        <w:outlineLvl w:val="9"/>
        <w:rPr>
          <w:rFonts w:eastAsia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第一条【评价目的】</w:t>
      </w:r>
      <w:r>
        <w:rPr>
          <w:rFonts w:hint="eastAsia" w:ascii="仿宋_GB2312" w:eastAsia="仿宋_GB2312" w:cs="黑体"/>
          <w:color w:val="auto"/>
          <w:sz w:val="32"/>
          <w:szCs w:val="32"/>
        </w:rPr>
        <w:t>适应职业本科教育改革需要，强化教学中心地位，充分发挥质量评价指挥棒作用，引导广大教师增强教书育人的自觉性和责任感，加大对教学工作的精力投入，不断提高人才培养质量。提高教师教学能力，通过教学质量评价，帮助教师规范教学行为、发现教学问题、及时改进提高，促进教师更新教学理念、优化教学内容、改进教学方法，不断引领教师专业发展。实现科学有效管理，以教学质量评价为抓手，引导学校各级部门提高管理水平，营造争先创优的良好氛围，不断完善学校内部治理体系</w:t>
      </w:r>
      <w:r>
        <w:rPr>
          <w:rFonts w:hint="eastAsia" w:eastAsia="仿宋_GB2312"/>
          <w:color w:val="auto"/>
          <w:sz w:val="32"/>
          <w:szCs w:val="32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jc w:val="both"/>
        <w:outlineLvl w:val="9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第二条【评价原则】</w:t>
      </w:r>
      <w:r>
        <w:rPr>
          <w:rFonts w:hint="eastAsia" w:ascii="仿宋_GB2312" w:hAnsi="仿宋_GB2312" w:eastAsia="仿宋_GB2312" w:cs="仿宋_GB2312"/>
          <w:sz w:val="32"/>
          <w:szCs w:val="32"/>
        </w:rPr>
        <w:t>坚持客观性原则，教师教学质量评价应以客观事实为依据，实事求是进行评价；坚持科学性原则，评价指标要符合新时代教育教学要求，符合教学规律和教学规范，按照理论课、实验/实训课、体育课等课程类别分类评价；坚持全面性原则，实行校级督导评价、学院评价、学生评价相结合，教学过程监督与评价结果应用并重，使教学质量评价能够全面反映教师教学质量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 w:after="161" w:afterLines="50" w:line="540" w:lineRule="exact"/>
        <w:ind w:firstLine="0" w:firstLineChars="0"/>
        <w:jc w:val="center"/>
        <w:textAlignment w:val="auto"/>
        <w:outlineLvl w:val="9"/>
        <w:rPr>
          <w:rFonts w:hint="eastAsia" w:eastAsia="黑体" w:cs="黑体"/>
          <w:sz w:val="32"/>
          <w:szCs w:val="32"/>
        </w:rPr>
      </w:pPr>
      <w:r>
        <w:rPr>
          <w:rFonts w:hint="eastAsia" w:eastAsia="黑体" w:cs="黑体"/>
          <w:sz w:val="32"/>
          <w:szCs w:val="32"/>
        </w:rPr>
        <w:t>第二章  组织领导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jc w:val="both"/>
        <w:outlineLvl w:val="9"/>
        <w:rPr>
          <w:rFonts w:eastAsia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第三条【学校组织领导】</w:t>
      </w:r>
      <w:r>
        <w:rPr>
          <w:rFonts w:hint="eastAsia" w:eastAsia="仿宋_GB2312"/>
          <w:sz w:val="32"/>
          <w:szCs w:val="32"/>
        </w:rPr>
        <w:t>学校成立教师教学质量评价领导小组，校长任组长，分管教学副校长任副组长，质量评估处、教务处、人事处、校级督导组领导任成员。教学质量评价领导小组办公室设在质量评估处，负责全校教师教学质量评价的指导、协调和审查工作。具体工作由质量评估处负责组织实施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jc w:val="both"/>
        <w:outlineLvl w:val="9"/>
        <w:rPr>
          <w:rFonts w:eastAsia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第四条【学院组织领导】</w:t>
      </w:r>
      <w:r>
        <w:rPr>
          <w:rFonts w:hint="eastAsia" w:eastAsia="仿宋_GB2312"/>
          <w:sz w:val="32"/>
          <w:szCs w:val="32"/>
        </w:rPr>
        <w:t>教学单位成立由院长任组长、其他院领导任副组长，基层教学组织领导、教研骨干、院级督导员为组员的教师教学质量评价小组，具体负责本单位教师教学质量评价工作。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 w:after="161" w:afterLines="50" w:line="540" w:lineRule="exact"/>
        <w:ind w:firstLine="0" w:firstLineChars="0"/>
        <w:jc w:val="center"/>
        <w:textAlignment w:val="auto"/>
        <w:outlineLvl w:val="9"/>
        <w:rPr>
          <w:rFonts w:hint="eastAsia" w:eastAsia="黑体" w:cs="黑体"/>
          <w:sz w:val="32"/>
          <w:szCs w:val="32"/>
        </w:rPr>
      </w:pPr>
      <w:r>
        <w:rPr>
          <w:rFonts w:hint="eastAsia" w:eastAsia="黑体" w:cs="黑体"/>
          <w:sz w:val="32"/>
          <w:szCs w:val="32"/>
        </w:rPr>
        <w:t>第三章</w:t>
      </w:r>
      <w:r>
        <w:rPr>
          <w:rFonts w:hint="eastAsia" w:eastAsia="黑体" w:cs="黑体"/>
          <w:sz w:val="32"/>
          <w:szCs w:val="32"/>
          <w:lang w:val="en-US" w:eastAsia="zh-CN"/>
        </w:rPr>
        <w:t xml:space="preserve">  </w:t>
      </w:r>
      <w:r>
        <w:rPr>
          <w:rFonts w:hint="eastAsia" w:eastAsia="黑体" w:cs="黑体"/>
          <w:sz w:val="32"/>
          <w:szCs w:val="32"/>
        </w:rPr>
        <w:t>评价指标和程序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jc w:val="both"/>
        <w:outlineLvl w:val="9"/>
        <w:rPr>
          <w:rFonts w:eastAsia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第五条【评价对象】</w:t>
      </w:r>
      <w:r>
        <w:rPr>
          <w:rFonts w:hint="eastAsia" w:eastAsia="仿宋_GB2312"/>
          <w:sz w:val="32"/>
          <w:szCs w:val="32"/>
        </w:rPr>
        <w:t>学校承担本科、专科教学任务的专任教师、兼职教师，均须接受评价。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jc w:val="both"/>
        <w:outlineLvl w:val="9"/>
        <w:rPr>
          <w:rFonts w:eastAsia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第六条【评价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指标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】</w:t>
      </w:r>
      <w:r>
        <w:rPr>
          <w:rFonts w:hint="eastAsia" w:eastAsia="仿宋_GB2312"/>
          <w:sz w:val="32"/>
          <w:szCs w:val="32"/>
        </w:rPr>
        <w:t>教师教学质量评价由校级督导听课评价、学院评价、学生评价等部分构成，</w:t>
      </w:r>
      <w:r>
        <w:rPr>
          <w:rFonts w:eastAsia="仿宋_GB2312"/>
          <w:sz w:val="32"/>
          <w:szCs w:val="32"/>
        </w:rPr>
        <w:t>评价指标、分值及评价标准和方法参见《</w:t>
      </w:r>
      <w:r>
        <w:rPr>
          <w:rFonts w:hint="eastAsia" w:eastAsia="仿宋_GB2312"/>
          <w:sz w:val="32"/>
          <w:szCs w:val="32"/>
        </w:rPr>
        <w:t>泉州职业技术大学</w:t>
      </w:r>
      <w:r>
        <w:rPr>
          <w:rFonts w:eastAsia="仿宋_GB2312"/>
          <w:sz w:val="32"/>
          <w:szCs w:val="32"/>
        </w:rPr>
        <w:t>教师教学质量评价指标体</w:t>
      </w:r>
      <w:r>
        <w:rPr>
          <w:rFonts w:hint="eastAsia" w:ascii="仿宋_GB2312" w:hAnsi="仿宋_GB2312" w:eastAsia="仿宋_GB2312" w:cs="仿宋_GB2312"/>
          <w:sz w:val="32"/>
          <w:szCs w:val="32"/>
        </w:rPr>
        <w:t>系》（附件1），课堂教学评价指标及标准参见《泉州职业技术大学课堂教学质量评价表》（附件2、附件3）。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rPr>
          <w:rFonts w:eastAsia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第七条【评价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  <w:lang w:val="en-US" w:eastAsia="zh-CN"/>
        </w:rPr>
        <w:t>实施</w:t>
      </w: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】</w:t>
      </w:r>
      <w:r>
        <w:rPr>
          <w:rFonts w:hint="eastAsia" w:eastAsia="仿宋_GB2312"/>
          <w:sz w:val="32"/>
          <w:szCs w:val="32"/>
        </w:rPr>
        <w:t>教师教学质量评价每学期开展一次，对本学期所有承担教学任务的教师进行评价；</w:t>
      </w:r>
      <w:r>
        <w:rPr>
          <w:rFonts w:hint="eastAsia" w:eastAsia="仿宋_GB2312"/>
          <w:color w:val="auto"/>
          <w:sz w:val="32"/>
          <w:szCs w:val="32"/>
        </w:rPr>
        <w:t>每学年总评一次，取两学期评价结果的平均值。校级督导听课评价由质量评估</w:t>
      </w:r>
      <w:r>
        <w:rPr>
          <w:rFonts w:hint="eastAsia" w:eastAsia="仿宋_GB2312"/>
          <w:sz w:val="32"/>
          <w:szCs w:val="32"/>
        </w:rPr>
        <w:t>处负责组织，每学期应当覆盖所有任课老师；学院评价分学院领导评价、同行评价两部分，由学院负责组织；学生评价依托学校教学质量监控与评价系统，由质量评估处统筹管理，学院组织实施。</w:t>
      </w:r>
      <w:r>
        <w:rPr>
          <w:rFonts w:hint="eastAsia" w:ascii="仿宋_GB2312" w:eastAsia="仿宋_GB2312" w:cs="黑体"/>
          <w:sz w:val="32"/>
          <w:szCs w:val="32"/>
        </w:rPr>
        <w:t>暑期小学期</w:t>
      </w:r>
      <w:r>
        <w:rPr>
          <w:rFonts w:hint="eastAsia" w:eastAsia="仿宋_GB2312"/>
          <w:sz w:val="32"/>
          <w:szCs w:val="32"/>
        </w:rPr>
        <w:t>作为学年下学期进行教学质量评价。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jc w:val="both"/>
        <w:outlineLvl w:val="9"/>
        <w:rPr>
          <w:rFonts w:eastAsia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第八条【有关要求】</w:t>
      </w:r>
      <w:r>
        <w:rPr>
          <w:rFonts w:hint="eastAsia" w:eastAsia="仿宋_GB2312"/>
          <w:sz w:val="32"/>
          <w:szCs w:val="32"/>
        </w:rPr>
        <w:t>各教学单位要认真组织教师教学质量评价工作，要严格评价标准，严密组织实施，确保评价公开、公正；要及时反馈评价信息，督促教师整改提高，确保评价的信度、效度。特别是组织学生客观、公正做好网上评教工作，要加强对学生评教工作的指导，选课学生全员参与，严格学生网上评教操作规程</w:t>
      </w:r>
      <w:r>
        <w:rPr>
          <w:rFonts w:eastAsia="仿宋_GB2312"/>
          <w:sz w:val="32"/>
          <w:szCs w:val="32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 w:after="161" w:afterLines="50" w:line="540" w:lineRule="exact"/>
        <w:ind w:firstLine="0" w:firstLineChars="0"/>
        <w:jc w:val="center"/>
        <w:textAlignment w:val="auto"/>
        <w:outlineLvl w:val="9"/>
        <w:rPr>
          <w:rFonts w:hint="eastAsia" w:eastAsia="黑体" w:cs="黑体"/>
          <w:sz w:val="32"/>
          <w:szCs w:val="32"/>
        </w:rPr>
      </w:pPr>
      <w:r>
        <w:rPr>
          <w:rFonts w:hint="eastAsia" w:eastAsia="黑体" w:cs="黑体"/>
          <w:sz w:val="32"/>
          <w:szCs w:val="32"/>
        </w:rPr>
        <w:t xml:space="preserve">第四章 </w:t>
      </w:r>
      <w:r>
        <w:rPr>
          <w:rFonts w:hint="eastAsia" w:eastAsia="黑体" w:cs="黑体"/>
          <w:sz w:val="32"/>
          <w:szCs w:val="32"/>
          <w:lang w:val="en-US" w:eastAsia="zh-CN"/>
        </w:rPr>
        <w:t xml:space="preserve"> </w:t>
      </w:r>
      <w:r>
        <w:rPr>
          <w:rFonts w:hint="eastAsia" w:eastAsia="黑体" w:cs="黑体"/>
          <w:sz w:val="32"/>
          <w:szCs w:val="32"/>
        </w:rPr>
        <w:t>评价结果及使用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jc w:val="both"/>
        <w:outlineLvl w:val="9"/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第九条【评价结果】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</w:rPr>
        <w:t>每学期学校专任教师的教学质量评价成绩以学院为单位进行排序，评价结果分优秀、良好、合格和不合格四个等次，其中优秀等次比例原则上不超过25%，合格和不合格比例合计不得低于15%，介于两者之间的教师定为良好等次。兼职教师教学质量评价办法参照执行。评价数值计算采用四舍五入法，评价得分取小数点后两位。对于学期内有严重违反师德师风行为的，或发生Ⅰ级教学事故1次、或Ⅱ级教学事故2次、或Ⅲ级教学事故3次的教师，学期教学质量给予“不合格”认定；发生Ⅱ级以上（含）教学事故的教师，不得评为优秀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1"/>
        <w:jc w:val="both"/>
        <w:textAlignment w:val="baseline"/>
        <w:outlineLvl w:val="9"/>
        <w:rPr>
          <w:rFonts w:hint="eastAsia"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第十条【结果使用】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学校每学期公布专任教师教学质量评价结果，对获评优秀的教师给予2000元奖励。学校每学年组织一次评选“教学质量奖”，专任教师学年内两学期教学质量评价等次均为优秀的获得“教学质量奖”评选资格，学年综合成绩在学院所有获得评选资格老师中排序前20%的（不足1人的按1人推荐）参加学校组织的评选，获奖教师数量一般在15人以内，学校对获奖教师予以通报表彰，颁发证书、每人奖金5000元。兼职教师评优、评选“教学质量奖”参照执行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561"/>
        <w:jc w:val="both"/>
        <w:textAlignment w:val="baseline"/>
        <w:outlineLvl w:val="9"/>
        <w:rPr>
          <w:rFonts w:hint="eastAsia" w:ascii="仿宋_GB2312" w:hAnsi="仿宋_GB2312" w:eastAsia="仿宋_GB2312" w:cs="仿宋_GB2312"/>
          <w:color w:val="auto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</w:rPr>
        <w:t>教师教学质量评价结果作为教师职称评聘、业绩考核、优秀教师评选、年度考核等重要依据。教学单位对质量评价成绩突出的教师要给予正向激励和政策倾斜，对质量评价成绩靠后的教师要重点关注和加强帮促。教师教学质量评价结果不合格者，当年度不得申报高一级专业技术职务和参加评先评优等活动；连续两学期教学质量评价结果不合格者，暂停授课资格，学院组织整改帮促，通过学院、学校两级试讲方能重新取得授课资格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 w:after="161" w:afterLines="50" w:line="540" w:lineRule="exact"/>
        <w:ind w:firstLine="0" w:firstLineChars="0"/>
        <w:jc w:val="center"/>
        <w:textAlignment w:val="auto"/>
        <w:outlineLvl w:val="9"/>
        <w:rPr>
          <w:rFonts w:hint="eastAsia" w:eastAsia="黑体" w:cs="黑体"/>
          <w:sz w:val="32"/>
          <w:szCs w:val="32"/>
        </w:rPr>
      </w:pPr>
      <w:r>
        <w:rPr>
          <w:rFonts w:hint="eastAsia" w:eastAsia="黑体" w:cs="黑体"/>
          <w:sz w:val="32"/>
          <w:szCs w:val="32"/>
        </w:rPr>
        <w:t xml:space="preserve">第五章 </w:t>
      </w:r>
      <w:r>
        <w:rPr>
          <w:rFonts w:hint="eastAsia" w:eastAsia="黑体" w:cs="黑体"/>
          <w:sz w:val="32"/>
          <w:szCs w:val="32"/>
          <w:lang w:val="en-US" w:eastAsia="zh-CN"/>
        </w:rPr>
        <w:t xml:space="preserve"> </w:t>
      </w:r>
      <w:r>
        <w:rPr>
          <w:rFonts w:hint="eastAsia" w:eastAsia="黑体" w:cs="黑体"/>
          <w:sz w:val="32"/>
          <w:szCs w:val="32"/>
        </w:rPr>
        <w:t>附则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6"/>
        <w:jc w:val="both"/>
        <w:textAlignment w:val="baseline"/>
        <w:outlineLvl w:val="9"/>
        <w:rPr>
          <w:rFonts w:eastAsia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第十一条</w:t>
      </w:r>
      <w:r>
        <w:rPr>
          <w:rFonts w:hint="eastAsia" w:eastAsia="黑体" w:cs="黑体"/>
          <w:sz w:val="32"/>
          <w:szCs w:val="32"/>
        </w:rPr>
        <w:t xml:space="preserve"> </w:t>
      </w:r>
      <w:r>
        <w:rPr>
          <w:rFonts w:eastAsia="仿宋_GB2312"/>
          <w:sz w:val="32"/>
          <w:szCs w:val="32"/>
        </w:rPr>
        <w:t>本办法自印发之日起施行。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46"/>
        <w:jc w:val="both"/>
        <w:textAlignment w:val="baseline"/>
        <w:outlineLvl w:val="9"/>
        <w:rPr>
          <w:rFonts w:eastAsia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/>
          <w:sz w:val="32"/>
          <w:szCs w:val="32"/>
        </w:rPr>
        <w:t>第十二条</w:t>
      </w:r>
      <w:r>
        <w:rPr>
          <w:rFonts w:hint="eastAsia" w:eastAsia="黑体" w:cs="黑体"/>
          <w:sz w:val="32"/>
          <w:szCs w:val="32"/>
          <w:lang w:val="en-US" w:eastAsia="zh-CN"/>
        </w:rPr>
        <w:t xml:space="preserve"> </w:t>
      </w:r>
      <w:r>
        <w:rPr>
          <w:rFonts w:eastAsia="仿宋_GB2312"/>
          <w:sz w:val="32"/>
          <w:szCs w:val="32"/>
        </w:rPr>
        <w:t>本办法由</w:t>
      </w:r>
      <w:r>
        <w:rPr>
          <w:rFonts w:hint="eastAsia" w:eastAsia="仿宋_GB2312"/>
          <w:sz w:val="32"/>
          <w:szCs w:val="32"/>
        </w:rPr>
        <w:t>质量评估处</w:t>
      </w:r>
      <w:r>
        <w:rPr>
          <w:rFonts w:eastAsia="仿宋_GB2312"/>
          <w:sz w:val="32"/>
          <w:szCs w:val="32"/>
        </w:rPr>
        <w:t>负责解释。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0"/>
        <w:jc w:val="left"/>
        <w:textAlignment w:val="baseline"/>
        <w:rPr>
          <w:rFonts w:eastAsia="仿宋_GB2312"/>
          <w:sz w:val="32"/>
          <w:szCs w:val="32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624" w:firstLineChars="200"/>
        <w:jc w:val="both"/>
        <w:textAlignment w:val="baseline"/>
        <w:outlineLvl w:val="9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eastAsia="仿宋_GB2312"/>
          <w:sz w:val="32"/>
          <w:szCs w:val="32"/>
          <w:lang w:val="en-US" w:eastAsia="zh-CN"/>
        </w:rPr>
        <w:t>附件：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1.</w:t>
      </w:r>
      <w:r>
        <w:rPr>
          <w:rFonts w:hint="eastAsia" w:ascii="仿宋_GB2312" w:hAnsi="仿宋_GB2312" w:eastAsia="仿宋_GB2312" w:cs="仿宋_GB2312"/>
          <w:sz w:val="32"/>
          <w:szCs w:val="32"/>
        </w:rPr>
        <w:t>泉州职业技术大学教师教学质量评价指标体系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1560" w:firstLineChars="500"/>
        <w:jc w:val="left"/>
        <w:textAlignment w:val="baseline"/>
        <w:outlineLvl w:val="9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2.泉州职业技术大学课堂教学质量评价表（评课用）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right="0" w:rightChars="0" w:firstLine="1560" w:firstLineChars="500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3.</w:t>
      </w:r>
      <w:r>
        <w:rPr>
          <w:rFonts w:hint="eastAsia" w:ascii="仿宋_GB2312" w:hAnsi="仿宋_GB2312" w:eastAsia="仿宋_GB2312" w:cs="仿宋_GB2312"/>
          <w:sz w:val="32"/>
          <w:szCs w:val="32"/>
        </w:rPr>
        <w:t>泉州职业技术大学课堂教学质量评价表（学生用）</w:t>
      </w:r>
    </w:p>
    <w:p>
      <w:pPr>
        <w:rPr>
          <w:rFonts w:hint="eastAsia" w:ascii="黑体" w:hAnsi="黑体" w:eastAsia="黑体" w:cs="宋体"/>
          <w:b w:val="0"/>
          <w:bCs w:val="0"/>
          <w:color w:val="333333"/>
          <w:kern w:val="0"/>
          <w:sz w:val="32"/>
          <w:szCs w:val="32"/>
        </w:rPr>
      </w:pPr>
      <w:r>
        <w:rPr>
          <w:rFonts w:hint="eastAsia" w:ascii="黑体" w:hAnsi="黑体" w:eastAsia="黑体" w:cs="宋体"/>
          <w:b w:val="0"/>
          <w:bCs w:val="0"/>
          <w:color w:val="333333"/>
          <w:kern w:val="0"/>
          <w:sz w:val="32"/>
          <w:szCs w:val="32"/>
        </w:rPr>
        <w:br w:type="page"/>
      </w:r>
    </w:p>
    <w:p>
      <w:pPr>
        <w:widowControl/>
        <w:spacing w:line="560" w:lineRule="exact"/>
        <w:textAlignment w:val="baseline"/>
        <w:rPr>
          <w:rFonts w:ascii="黑体" w:hAnsi="黑体" w:eastAsia="黑体" w:cs="宋体"/>
          <w:b w:val="0"/>
          <w:bCs w:val="0"/>
          <w:color w:val="333333"/>
          <w:kern w:val="0"/>
          <w:sz w:val="32"/>
          <w:szCs w:val="32"/>
        </w:rPr>
      </w:pPr>
      <w:r>
        <w:rPr>
          <w:rFonts w:hint="eastAsia" w:ascii="黑体" w:hAnsi="黑体" w:eastAsia="黑体" w:cs="宋体"/>
          <w:b w:val="0"/>
          <w:bCs w:val="0"/>
          <w:color w:val="333333"/>
          <w:kern w:val="0"/>
          <w:sz w:val="32"/>
          <w:szCs w:val="32"/>
        </w:rPr>
        <w:t>附件1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320" w:beforeLines="100" w:after="320" w:afterLines="100" w:line="560" w:lineRule="exact"/>
        <w:jc w:val="center"/>
        <w:textAlignment w:val="baseline"/>
        <w:rPr>
          <w:rFonts w:ascii="方正小标宋简体" w:hAnsi="华文中宋" w:eastAsia="方正小标宋简体" w:cs="宋体"/>
          <w:b w:val="0"/>
          <w:bCs w:val="0"/>
          <w:color w:val="333333"/>
          <w:kern w:val="0"/>
          <w:sz w:val="44"/>
          <w:szCs w:val="44"/>
        </w:rPr>
      </w:pPr>
      <w:r>
        <w:rPr>
          <w:rFonts w:hint="eastAsia" w:ascii="方正小标宋简体" w:hAnsi="华文中宋" w:eastAsia="方正小标宋简体" w:cs="宋体"/>
          <w:b w:val="0"/>
          <w:bCs w:val="0"/>
          <w:color w:val="333333"/>
          <w:kern w:val="0"/>
          <w:sz w:val="44"/>
          <w:szCs w:val="44"/>
        </w:rPr>
        <w:t>泉州职业技术大学教师教学质量评价指标体系</w:t>
      </w:r>
    </w:p>
    <w:tbl>
      <w:tblPr>
        <w:tblStyle w:val="6"/>
        <w:tblW w:w="9563" w:type="dxa"/>
        <w:jc w:val="center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026"/>
        <w:gridCol w:w="3"/>
        <w:gridCol w:w="797"/>
        <w:gridCol w:w="1191"/>
        <w:gridCol w:w="3271"/>
        <w:gridCol w:w="2225"/>
        <w:gridCol w:w="1050"/>
      </w:tblGrid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7" w:hRule="atLeast"/>
          <w:tblHeader/>
          <w:jc w:val="center"/>
        </w:trPr>
        <w:tc>
          <w:tcPr>
            <w:tcW w:w="1826" w:type="dxa"/>
            <w:gridSpan w:val="3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b/>
                <w:bCs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kern w:val="0"/>
                <w:sz w:val="22"/>
                <w:szCs w:val="22"/>
              </w:rPr>
              <w:t>项目</w:t>
            </w:r>
          </w:p>
        </w:tc>
        <w:tc>
          <w:tcPr>
            <w:tcW w:w="119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kern w:val="0"/>
                <w:sz w:val="22"/>
                <w:szCs w:val="22"/>
              </w:rPr>
              <w:t>指标</w:t>
            </w:r>
          </w:p>
        </w:tc>
        <w:tc>
          <w:tcPr>
            <w:tcW w:w="327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kern w:val="0"/>
                <w:sz w:val="22"/>
                <w:szCs w:val="22"/>
              </w:rPr>
              <w:t>主要观测点及要求</w:t>
            </w:r>
          </w:p>
        </w:tc>
        <w:tc>
          <w:tcPr>
            <w:tcW w:w="2225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kern w:val="0"/>
                <w:sz w:val="22"/>
                <w:szCs w:val="22"/>
              </w:rPr>
              <w:t>评价标准与方法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b/>
                <w:bCs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color w:val="333333"/>
                <w:kern w:val="0"/>
                <w:sz w:val="22"/>
                <w:szCs w:val="22"/>
              </w:rPr>
              <w:t xml:space="preserve">备注 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9" w:hRule="atLeast"/>
          <w:jc w:val="center"/>
        </w:trPr>
        <w:tc>
          <w:tcPr>
            <w:tcW w:w="1826" w:type="dxa"/>
            <w:gridSpan w:val="3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学校教学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督导评价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(30分)</w:t>
            </w:r>
          </w:p>
        </w:tc>
        <w:tc>
          <w:tcPr>
            <w:tcW w:w="119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听课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（30分）</w:t>
            </w:r>
          </w:p>
        </w:tc>
        <w:tc>
          <w:tcPr>
            <w:tcW w:w="327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教学文件齐全，课程资源丰富；教学目标明确，进度适宜；观点正确，表达清晰，富有激情；内容充实，重点突出，注意介绍本专业研究和发展动态，理论联系实际，善于启发思维；师生互动，气氛活跃；能有效利用各种教学媒体；注重信息化教学手段运用；培养学生的个性和创新能力；教学效果好。</w:t>
            </w:r>
          </w:p>
        </w:tc>
        <w:tc>
          <w:tcPr>
            <w:tcW w:w="2225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b/>
                <w:bCs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质量评估处组织校级督导组听课评价打分。按照课堂教学质量评价用表（附件2）指标要求听课打分，每学期1次。学校领导、职能部门领导听课参照校级督导听课评价执行。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both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学校督导组听课全覆盖，给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both"/>
              <w:textAlignment w:val="baseline"/>
              <w:rPr>
                <w:rFonts w:hint="eastAsia" w:ascii="仿宋_GB2312" w:hAnsi="仿宋_GB2312" w:eastAsia="仿宋_GB2312" w:cs="仿宋_GB2312"/>
                <w:b/>
                <w:bCs/>
                <w:color w:val="auto"/>
                <w:spacing w:val="-20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每位任课教师打分。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310" w:hRule="atLeast"/>
          <w:jc w:val="center"/>
        </w:trPr>
        <w:tc>
          <w:tcPr>
            <w:tcW w:w="1026" w:type="dxa"/>
            <w:vMerge w:val="restart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学院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评价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(30分)</w:t>
            </w:r>
          </w:p>
        </w:tc>
        <w:tc>
          <w:tcPr>
            <w:tcW w:w="800" w:type="dxa"/>
            <w:gridSpan w:val="2"/>
            <w:vMerge w:val="restart"/>
            <w:tcBorders>
              <w:tl2br w:val="nil"/>
              <w:tr2bl w:val="nil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学院领导评价(18分)</w:t>
            </w:r>
          </w:p>
        </w:tc>
        <w:tc>
          <w:tcPr>
            <w:tcW w:w="119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师德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师风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（3分）</w:t>
            </w:r>
          </w:p>
        </w:tc>
        <w:tc>
          <w:tcPr>
            <w:tcW w:w="327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依据《泉州职业技术大学师德师风评价标准（试行）》；完成学校、学院教学任务态度端正、作风扎实。</w:t>
            </w:r>
          </w:p>
        </w:tc>
        <w:tc>
          <w:tcPr>
            <w:tcW w:w="2225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由教学单位教学质量评价工作小组每学期组织一次考核打分。</w:t>
            </w:r>
          </w:p>
        </w:tc>
        <w:tc>
          <w:tcPr>
            <w:tcW w:w="1050" w:type="dxa"/>
            <w:vMerge w:val="restart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both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学院组织评价。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07" w:hRule="atLeast"/>
          <w:jc w:val="center"/>
        </w:trPr>
        <w:tc>
          <w:tcPr>
            <w:tcW w:w="1026" w:type="dxa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</w:p>
        </w:tc>
        <w:tc>
          <w:tcPr>
            <w:tcW w:w="800" w:type="dxa"/>
            <w:gridSpan w:val="2"/>
            <w:vMerge w:val="continue"/>
            <w:tcBorders>
              <w:tl2br w:val="nil"/>
              <w:tr2bl w:val="nil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</w:p>
        </w:tc>
        <w:tc>
          <w:tcPr>
            <w:tcW w:w="119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教学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业绩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（4分）</w:t>
            </w:r>
          </w:p>
        </w:tc>
        <w:tc>
          <w:tcPr>
            <w:tcW w:w="327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教师积极参加各级各类教学比赛、技能大赛获奖；指导学生参加各类大赛获奖；参加教学成果奖申报和其他各类教学评奖活动获奖；参加各级各类专业建设、课程建设、教材建设、实习实训条件建设获得成果；参加各级各类教研纵向课题、教学改革专项课题、教学成果立项课题研究取得成果。</w:t>
            </w:r>
          </w:p>
        </w:tc>
        <w:tc>
          <w:tcPr>
            <w:tcW w:w="2225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由教学单位教学质量评价工作小组制定评定标准，每学期组织一次考核打分。</w:t>
            </w:r>
          </w:p>
        </w:tc>
        <w:tc>
          <w:tcPr>
            <w:tcW w:w="1050" w:type="dxa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026" w:type="dxa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</w:p>
        </w:tc>
        <w:tc>
          <w:tcPr>
            <w:tcW w:w="800" w:type="dxa"/>
            <w:gridSpan w:val="2"/>
            <w:vMerge w:val="continue"/>
            <w:tcBorders>
              <w:tl2br w:val="nil"/>
              <w:tr2bl w:val="nil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</w:p>
        </w:tc>
        <w:tc>
          <w:tcPr>
            <w:tcW w:w="119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教学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文件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（3分）</w:t>
            </w:r>
          </w:p>
        </w:tc>
        <w:tc>
          <w:tcPr>
            <w:tcW w:w="327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教学基本文件资料齐全、规范，按时提交。</w:t>
            </w:r>
          </w:p>
        </w:tc>
        <w:tc>
          <w:tcPr>
            <w:tcW w:w="2225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  <w:t>按照学校课程档案管理规定，通过三期教学检查打分，取三期检查平均分。</w:t>
            </w:r>
          </w:p>
        </w:tc>
        <w:tc>
          <w:tcPr>
            <w:tcW w:w="1050" w:type="dxa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color w:val="auto"/>
                <w:kern w:val="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029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学院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评价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(30分)</w:t>
            </w:r>
          </w:p>
        </w:tc>
        <w:tc>
          <w:tcPr>
            <w:tcW w:w="797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学院领导评价(18分)</w:t>
            </w:r>
          </w:p>
        </w:tc>
        <w:tc>
          <w:tcPr>
            <w:tcW w:w="119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领导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听课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（8分）</w:t>
            </w:r>
          </w:p>
        </w:tc>
        <w:tc>
          <w:tcPr>
            <w:tcW w:w="327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教学文件齐全，课程资源丰富；教学目标明确，进度适宜；观点正确，表达清晰，富有激情；内容充实，重点突出，注意介绍本专业研究和发展动态，理论联系实际，善于启发思维；师生互动，气氛活跃；能有效利用各种教学媒体；注重信息化教学手段运用；培养学生的个性和创新能力；教学效果好。</w:t>
            </w:r>
          </w:p>
        </w:tc>
        <w:tc>
          <w:tcPr>
            <w:tcW w:w="2225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学院组织听课打分。按照课堂教学质量评价用表（附件2）指标要求听课打分，每学期1次。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both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学院组织评价。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029" w:type="dxa"/>
            <w:gridSpan w:val="2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学院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评价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(30分)</w:t>
            </w:r>
          </w:p>
        </w:tc>
        <w:tc>
          <w:tcPr>
            <w:tcW w:w="797" w:type="dxa"/>
            <w:vMerge w:val="restart"/>
            <w:tcBorders>
              <w:tl2br w:val="nil"/>
              <w:tr2bl w:val="nil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同行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评价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(12分）</w:t>
            </w:r>
          </w:p>
        </w:tc>
        <w:tc>
          <w:tcPr>
            <w:tcW w:w="119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教研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活动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（4分）</w:t>
            </w:r>
          </w:p>
        </w:tc>
        <w:tc>
          <w:tcPr>
            <w:tcW w:w="327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积极参加专业调研、教研活动，积极发表建设性意见,积极参与课程建设、专业建设和各种教研会议等。</w:t>
            </w:r>
          </w:p>
        </w:tc>
        <w:tc>
          <w:tcPr>
            <w:tcW w:w="2225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定期组织的教研活动,缺勤1次扣1分，扣完为止。</w:t>
            </w:r>
          </w:p>
        </w:tc>
        <w:tc>
          <w:tcPr>
            <w:tcW w:w="1050" w:type="dxa"/>
            <w:vMerge w:val="restart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both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教研室（中心）或专业带头人（教学主任）组织评价。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380" w:hRule="atLeast"/>
          <w:jc w:val="center"/>
        </w:trPr>
        <w:tc>
          <w:tcPr>
            <w:tcW w:w="1029" w:type="dxa"/>
            <w:gridSpan w:val="2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</w:p>
        </w:tc>
        <w:tc>
          <w:tcPr>
            <w:tcW w:w="797" w:type="dxa"/>
            <w:vMerge w:val="continue"/>
            <w:tcBorders>
              <w:tl2br w:val="nil"/>
              <w:tr2bl w:val="nil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</w:p>
        </w:tc>
        <w:tc>
          <w:tcPr>
            <w:tcW w:w="119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相互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听课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(8分)</w:t>
            </w:r>
          </w:p>
        </w:tc>
        <w:tc>
          <w:tcPr>
            <w:tcW w:w="327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教学文件齐全，课程资源丰富；教学目标明确，进度适宜；观点正确，表达清晰，富有激情；内容充实，重点突出，注意介绍本专业研究和发展动态，理论联系实际，善于启发思维；师生互动，气氛活跃；能有效利用各种教学媒体；注重信息化教学手段运用；培养学生的个性和创新能力；教学效果好。</w:t>
            </w:r>
          </w:p>
        </w:tc>
        <w:tc>
          <w:tcPr>
            <w:tcW w:w="2225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同教研室（专业）教师之间相互听课打分。按照课堂教学质量评价用表（附件2）指标要求听课打分，每学期1次。</w:t>
            </w:r>
          </w:p>
        </w:tc>
        <w:tc>
          <w:tcPr>
            <w:tcW w:w="1050" w:type="dxa"/>
            <w:vMerge w:val="continue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jc w:val="center"/>
        </w:trPr>
        <w:tc>
          <w:tcPr>
            <w:tcW w:w="1029" w:type="dxa"/>
            <w:gridSpan w:val="2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学生评价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（40分）</w:t>
            </w:r>
          </w:p>
        </w:tc>
        <w:tc>
          <w:tcPr>
            <w:tcW w:w="1988" w:type="dxa"/>
            <w:gridSpan w:val="2"/>
            <w:tcBorders>
              <w:tl2br w:val="nil"/>
              <w:tr2bl w:val="nil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网络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测评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jc w:val="center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（40分）</w:t>
            </w:r>
          </w:p>
        </w:tc>
        <w:tc>
          <w:tcPr>
            <w:tcW w:w="3271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备课认真，准备充分，按时上下课，充满热情，上课投入；进度适宜，符合计划要求；思路明晰，表达生动清楚，重点、难点突出；注重因材施教和学习方法指导，引导学生自主学习，培养学生能力；注重运用现代教学方法手段；要求严格，关爱学生，言传身教。</w:t>
            </w:r>
          </w:p>
        </w:tc>
        <w:tc>
          <w:tcPr>
            <w:tcW w:w="2225" w:type="dxa"/>
            <w:tcBorders>
              <w:tl2br w:val="nil"/>
              <w:tr2bl w:val="nil"/>
            </w:tcBorders>
            <w:shd w:val="clear" w:color="auto" w:fill="FFFFFF"/>
            <w:tcMar>
              <w:top w:w="75" w:type="dxa"/>
              <w:left w:w="150" w:type="dxa"/>
              <w:bottom w:w="75" w:type="dxa"/>
              <w:right w:w="150" w:type="dxa"/>
            </w:tcMar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每学期组织网上评教，评教打分标准参照学生评教用表（附件3）。</w:t>
            </w:r>
          </w:p>
        </w:tc>
        <w:tc>
          <w:tcPr>
            <w:tcW w:w="1050" w:type="dxa"/>
            <w:tcBorders>
              <w:tl2br w:val="nil"/>
              <w:tr2bl w:val="nil"/>
            </w:tcBorders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20" w:lineRule="exact"/>
              <w:textAlignment w:val="baseline"/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333333"/>
                <w:kern w:val="0"/>
                <w:sz w:val="22"/>
                <w:szCs w:val="22"/>
              </w:rPr>
              <w:t>学院组织，质量评估处统筹管理评教系统，反馈评教结果给学院。</w:t>
            </w:r>
          </w:p>
        </w:tc>
      </w:tr>
    </w:tbl>
    <w:p>
      <w:pPr>
        <w:spacing w:line="360" w:lineRule="exact"/>
        <w:rPr>
          <w:rFonts w:eastAsia="仿宋_GB2312"/>
          <w:sz w:val="32"/>
          <w:szCs w:val="32"/>
        </w:rPr>
      </w:pPr>
    </w:p>
    <w:p>
      <w:pPr>
        <w:spacing w:line="240" w:lineRule="auto"/>
        <w:rPr>
          <w:rFonts w:ascii="方正小标宋简体" w:hAnsi="方正小标宋简体" w:eastAsia="方正小标宋简体" w:cs="方正小标宋简体"/>
          <w:color w:val="000000"/>
          <w:kern w:val="0"/>
          <w:sz w:val="32"/>
          <w:szCs w:val="32"/>
          <w:lang w:bidi="ar"/>
        </w:rPr>
      </w:pPr>
      <w:r>
        <w:rPr>
          <w:rFonts w:ascii="方正小标宋简体" w:hAnsi="方正小标宋简体" w:eastAsia="方正小标宋简体" w:cs="方正小标宋简体"/>
          <w:color w:val="000000"/>
          <w:kern w:val="0"/>
          <w:sz w:val="32"/>
          <w:szCs w:val="32"/>
          <w:lang w:bidi="ar"/>
        </w:rPr>
        <w:br w:type="page"/>
      </w:r>
    </w:p>
    <w:p>
      <w:pPr>
        <w:widowControl/>
        <w:spacing w:line="360" w:lineRule="atLeast"/>
        <w:jc w:val="left"/>
        <w:textAlignment w:val="baseline"/>
        <w:rPr>
          <w:rFonts w:ascii="黑体" w:hAnsi="黑体" w:eastAsia="黑体" w:cs="宋体"/>
          <w:b w:val="0"/>
          <w:bCs w:val="0"/>
          <w:color w:val="333333"/>
          <w:kern w:val="0"/>
          <w:sz w:val="32"/>
          <w:szCs w:val="32"/>
        </w:rPr>
      </w:pPr>
      <w:r>
        <w:rPr>
          <w:rFonts w:ascii="黑体" w:hAnsi="黑体" w:eastAsia="黑体" w:cs="宋体"/>
          <w:b w:val="0"/>
          <w:bCs w:val="0"/>
          <w:color w:val="333333"/>
          <w:kern w:val="0"/>
          <w:sz w:val="32"/>
          <w:szCs w:val="32"/>
        </w:rPr>
        <w:t>附件</w:t>
      </w:r>
      <w:r>
        <w:rPr>
          <w:rFonts w:ascii="黑体" w:hAnsi="黑体" w:eastAsia="黑体" w:cs="Calibri"/>
          <w:b w:val="0"/>
          <w:bCs w:val="0"/>
          <w:color w:val="333333"/>
          <w:kern w:val="0"/>
          <w:sz w:val="32"/>
          <w:szCs w:val="32"/>
        </w:rPr>
        <w:t>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20" w:beforeLines="100" w:line="560" w:lineRule="exact"/>
        <w:ind w:firstLine="0" w:firstLineChars="0"/>
        <w:jc w:val="center"/>
        <w:textAlignment w:val="auto"/>
        <w:rPr>
          <w:rFonts w:hint="default" w:ascii="方正小标宋简体" w:hAnsi="方正小标宋简体" w:eastAsia="方正小标宋简体" w:cs="方正小标宋简体"/>
          <w:color w:val="000000"/>
          <w:spacing w:val="0"/>
          <w:kern w:val="0"/>
          <w:sz w:val="44"/>
          <w:szCs w:val="44"/>
          <w:lang w:val="en-US" w:eastAsia="zh-CN" w:bidi="ar"/>
        </w:rPr>
      </w:pPr>
      <w:bookmarkStart w:id="0" w:name="_Hlk112928183"/>
      <w:r>
        <w:rPr>
          <w:rFonts w:hint="eastAsia" w:ascii="方正小标宋简体" w:hAnsi="方正小标宋简体" w:eastAsia="方正小标宋简体" w:cs="方正小标宋简体"/>
          <w:color w:val="000000"/>
          <w:spacing w:val="0"/>
          <w:kern w:val="0"/>
          <w:sz w:val="44"/>
          <w:szCs w:val="44"/>
          <w:lang w:bidi="ar"/>
        </w:rPr>
        <w:t>泉州职业技术大学课堂教学质量评价表</w:t>
      </w:r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320" w:afterLines="100" w:line="560" w:lineRule="exact"/>
        <w:ind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/>
          <w:spacing w:val="0"/>
          <w:kern w:val="0"/>
          <w:sz w:val="44"/>
          <w:szCs w:val="44"/>
          <w:lang w:bidi="ar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spacing w:val="0"/>
          <w:kern w:val="0"/>
          <w:sz w:val="44"/>
          <w:szCs w:val="44"/>
          <w:lang w:bidi="ar"/>
        </w:rPr>
        <w:t>（</w:t>
      </w:r>
      <w:r>
        <w:rPr>
          <w:rFonts w:hint="eastAsia" w:ascii="方正小标宋简体" w:hAnsi="方正小标宋简体" w:eastAsia="方正小标宋简体" w:cs="方正小标宋简体"/>
          <w:color w:val="000000"/>
          <w:spacing w:val="0"/>
          <w:kern w:val="0"/>
          <w:sz w:val="44"/>
          <w:szCs w:val="44"/>
          <w:lang w:val="en-US" w:eastAsia="zh-CN" w:bidi="ar"/>
        </w:rPr>
        <w:t>评课用—</w:t>
      </w:r>
      <w:r>
        <w:rPr>
          <w:rFonts w:hint="eastAsia" w:ascii="方正小标宋简体" w:hAnsi="方正小标宋简体" w:eastAsia="方正小标宋简体" w:cs="方正小标宋简体"/>
          <w:color w:val="000000"/>
          <w:spacing w:val="0"/>
          <w:kern w:val="0"/>
          <w:sz w:val="44"/>
          <w:szCs w:val="44"/>
          <w:lang w:bidi="ar"/>
        </w:rPr>
        <w:t>理论课）</w:t>
      </w:r>
    </w:p>
    <w:tbl>
      <w:tblPr>
        <w:tblStyle w:val="6"/>
        <w:tblW w:w="5255" w:type="pct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16"/>
        <w:gridCol w:w="895"/>
        <w:gridCol w:w="1169"/>
        <w:gridCol w:w="613"/>
        <w:gridCol w:w="1289"/>
        <w:gridCol w:w="886"/>
        <w:gridCol w:w="1663"/>
        <w:gridCol w:w="733"/>
        <w:gridCol w:w="959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</w:tblPrEx>
        <w:trPr>
          <w:trHeight w:val="330" w:hRule="atLeast"/>
          <w:jc w:val="center"/>
        </w:trPr>
        <w:tc>
          <w:tcPr>
            <w:tcW w:w="69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授课教师</w:t>
            </w:r>
          </w:p>
        </w:tc>
        <w:tc>
          <w:tcPr>
            <w:tcW w:w="47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14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班级</w:t>
            </w:r>
          </w:p>
        </w:tc>
        <w:tc>
          <w:tcPr>
            <w:tcW w:w="32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77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学院</w:t>
            </w:r>
          </w:p>
        </w:tc>
        <w:tc>
          <w:tcPr>
            <w:tcW w:w="1337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38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地点</w:t>
            </w:r>
          </w:p>
        </w:tc>
        <w:tc>
          <w:tcPr>
            <w:tcW w:w="50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</w:tblPrEx>
        <w:trPr>
          <w:trHeight w:val="300" w:hRule="atLeast"/>
          <w:jc w:val="center"/>
        </w:trPr>
        <w:tc>
          <w:tcPr>
            <w:tcW w:w="69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课程名称</w:t>
            </w:r>
          </w:p>
        </w:tc>
        <w:tc>
          <w:tcPr>
            <w:tcW w:w="47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14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应到人数</w:t>
            </w:r>
          </w:p>
        </w:tc>
        <w:tc>
          <w:tcPr>
            <w:tcW w:w="32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77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迟到人数</w:t>
            </w:r>
          </w:p>
        </w:tc>
        <w:tc>
          <w:tcPr>
            <w:tcW w:w="46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87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实到人数</w:t>
            </w:r>
          </w:p>
        </w:tc>
        <w:tc>
          <w:tcPr>
            <w:tcW w:w="887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  <w:jc w:val="center"/>
        </w:trPr>
        <w:tc>
          <w:tcPr>
            <w:tcW w:w="1161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时间：</w:t>
            </w:r>
            <w:r>
              <w:rPr>
                <w:rStyle w:val="11"/>
                <w:rFonts w:hint="eastAsia" w:ascii="仿宋_GB2312" w:hAnsi="仿宋_GB2312" w:eastAsia="仿宋_GB2312" w:cs="仿宋_GB2312"/>
                <w:lang w:bidi="ar"/>
              </w:rPr>
              <w:t xml:space="preserve">  年  月  日</w:t>
            </w:r>
          </w:p>
        </w:tc>
        <w:tc>
          <w:tcPr>
            <w:tcW w:w="2078" w:type="pct"/>
            <w:gridSpan w:val="4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 xml:space="preserve">第（ </w:t>
            </w:r>
            <w:r>
              <w:rPr>
                <w:rStyle w:val="11"/>
                <w:rFonts w:hint="eastAsia" w:ascii="仿宋_GB2312" w:hAnsi="仿宋_GB2312" w:eastAsia="仿宋_GB2312" w:cs="仿宋_GB2312"/>
                <w:lang w:bidi="ar"/>
              </w:rPr>
              <w:t xml:space="preserve">   ）周，星期（   ），节次（   ）</w:t>
            </w:r>
          </w:p>
        </w:tc>
        <w:tc>
          <w:tcPr>
            <w:tcW w:w="87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到课率</w:t>
            </w:r>
          </w:p>
        </w:tc>
        <w:tc>
          <w:tcPr>
            <w:tcW w:w="887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5000" w:type="pct"/>
            <w:gridSpan w:val="9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Style w:val="11"/>
                <w:rFonts w:hint="eastAsia" w:ascii="仿宋_GB2312" w:hAnsi="仿宋_GB2312" w:eastAsia="仿宋_GB2312" w:cs="仿宋_GB2312"/>
                <w:lang w:bidi="ar"/>
              </w:rPr>
              <w:t>课堂教学质量评价标准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9" w:hRule="atLeast"/>
          <w:jc w:val="center"/>
        </w:trPr>
        <w:tc>
          <w:tcPr>
            <w:tcW w:w="69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一级指标</w:t>
            </w:r>
          </w:p>
        </w:tc>
        <w:tc>
          <w:tcPr>
            <w:tcW w:w="3421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ind w:firstLine="1908" w:firstLineChars="900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二级指标</w:t>
            </w:r>
          </w:p>
        </w:tc>
        <w:tc>
          <w:tcPr>
            <w:tcW w:w="38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分值</w:t>
            </w:r>
          </w:p>
        </w:tc>
        <w:tc>
          <w:tcPr>
            <w:tcW w:w="50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得分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9" w:hRule="atLeast"/>
          <w:jc w:val="center"/>
        </w:trPr>
        <w:tc>
          <w:tcPr>
            <w:tcW w:w="69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教学态度</w:t>
            </w:r>
          </w:p>
        </w:tc>
        <w:tc>
          <w:tcPr>
            <w:tcW w:w="3421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提前到达教室，课前准备充分，教学设备调试到位，按时上课；备课充分，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val="en-US" w:eastAsia="zh-CN" w:bidi="ar"/>
              </w:rPr>
              <w:t>授课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教学文件齐全，教案规范。</w:t>
            </w:r>
          </w:p>
        </w:tc>
        <w:tc>
          <w:tcPr>
            <w:tcW w:w="38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15</w:t>
            </w:r>
          </w:p>
        </w:tc>
        <w:tc>
          <w:tcPr>
            <w:tcW w:w="50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69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教学目标与内容</w:t>
            </w:r>
          </w:p>
        </w:tc>
        <w:tc>
          <w:tcPr>
            <w:tcW w:w="3421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挖掘课程思政元素，融入到教学内容，知识、能力和素质目标明确；教学内容充实，符合大纲要求和进度计划，教学做一体；注重本领域科技新成果，引导学生关注行业产业发展态势。</w:t>
            </w:r>
          </w:p>
        </w:tc>
        <w:tc>
          <w:tcPr>
            <w:tcW w:w="38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35</w:t>
            </w:r>
          </w:p>
        </w:tc>
        <w:tc>
          <w:tcPr>
            <w:tcW w:w="50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</w:tblPrEx>
        <w:trPr>
          <w:trHeight w:val="289" w:hRule="atLeast"/>
          <w:jc w:val="center"/>
        </w:trPr>
        <w:tc>
          <w:tcPr>
            <w:tcW w:w="69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教学方法与手段</w:t>
            </w:r>
          </w:p>
        </w:tc>
        <w:tc>
          <w:tcPr>
            <w:tcW w:w="3421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教学内容熟练，课堂设计合理，脉络清晰，重难点把握准确；教学方法运用灵活，师生有效互动，课堂气氛活跃；现代信息技术手段、多媒体课件运用恰当，辅助效果好。</w:t>
            </w:r>
          </w:p>
        </w:tc>
        <w:tc>
          <w:tcPr>
            <w:tcW w:w="38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25</w:t>
            </w:r>
          </w:p>
        </w:tc>
        <w:tc>
          <w:tcPr>
            <w:tcW w:w="50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9" w:hRule="atLeast"/>
          <w:jc w:val="center"/>
        </w:trPr>
        <w:tc>
          <w:tcPr>
            <w:tcW w:w="69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基本素质与基本能力</w:t>
            </w:r>
          </w:p>
        </w:tc>
        <w:tc>
          <w:tcPr>
            <w:tcW w:w="3421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语速适中，语言准确、教态自然，仪表符合规范；板书规范，设计合理，条理清楚，字迹工整；课堂调控能力强，根据学生状态把握教学节奏。</w:t>
            </w:r>
          </w:p>
        </w:tc>
        <w:tc>
          <w:tcPr>
            <w:tcW w:w="38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15</w:t>
            </w:r>
          </w:p>
        </w:tc>
        <w:tc>
          <w:tcPr>
            <w:tcW w:w="50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9" w:hRule="atLeast"/>
          <w:jc w:val="center"/>
        </w:trPr>
        <w:tc>
          <w:tcPr>
            <w:tcW w:w="69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教学效果</w:t>
            </w:r>
          </w:p>
        </w:tc>
        <w:tc>
          <w:tcPr>
            <w:tcW w:w="3421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学生学习状态良好，积极参与教学过程，课堂气氛活跃；完成教学目标，有效解决实际教学问题，促进学生思维能力提高。</w:t>
            </w:r>
          </w:p>
        </w:tc>
        <w:tc>
          <w:tcPr>
            <w:tcW w:w="38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10</w:t>
            </w:r>
          </w:p>
        </w:tc>
        <w:tc>
          <w:tcPr>
            <w:tcW w:w="50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</w:tblPrEx>
        <w:trPr>
          <w:trHeight w:val="289" w:hRule="atLeast"/>
          <w:jc w:val="center"/>
        </w:trPr>
        <w:tc>
          <w:tcPr>
            <w:tcW w:w="69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评价</w:t>
            </w:r>
          </w:p>
        </w:tc>
        <w:tc>
          <w:tcPr>
            <w:tcW w:w="3421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等级：优秀：90—100分；良好：80—89分；合格：60—79分；不合格：60分以下</w:t>
            </w:r>
          </w:p>
        </w:tc>
        <w:tc>
          <w:tcPr>
            <w:tcW w:w="38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100</w:t>
            </w:r>
          </w:p>
        </w:tc>
        <w:tc>
          <w:tcPr>
            <w:tcW w:w="50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</w:tblPrEx>
        <w:trPr>
          <w:trHeight w:val="289" w:hRule="atLeast"/>
          <w:jc w:val="center"/>
        </w:trPr>
        <w:tc>
          <w:tcPr>
            <w:tcW w:w="5000" w:type="pct"/>
            <w:gridSpan w:val="9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  <w:t>教学过程记录</w:t>
            </w: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</w:tblPrEx>
        <w:trPr>
          <w:trHeight w:val="289" w:hRule="atLeast"/>
          <w:jc w:val="center"/>
        </w:trPr>
        <w:tc>
          <w:tcPr>
            <w:tcW w:w="5000" w:type="pct"/>
            <w:gridSpan w:val="9"/>
            <w:tcBorders>
              <w:bottom w:val="single" w:color="auto" w:sz="12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  <w:t>评价与建议</w:t>
            </w:r>
          </w:p>
          <w:p>
            <w:pPr>
              <w:widowControl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  <w:t xml:space="preserve">督导： </w:t>
            </w:r>
            <w:r>
              <w:rPr>
                <w:rStyle w:val="12"/>
                <w:rFonts w:hint="eastAsia" w:ascii="仿宋_GB2312" w:hAnsi="仿宋_GB2312" w:eastAsia="仿宋_GB2312" w:cs="仿宋_GB2312"/>
                <w:lang w:bidi="ar"/>
              </w:rPr>
              <w:t xml:space="preserve">                                     被听课人：</w:t>
            </w:r>
          </w:p>
        </w:tc>
      </w:tr>
    </w:tbl>
    <w:p>
      <w:pPr>
        <w:spacing w:before="0" w:beforeLines="-2147483648" w:line="240" w:lineRule="auto"/>
        <w:jc w:val="left"/>
        <w:rPr>
          <w:rFonts w:hint="eastAsia" w:ascii="方正小标宋简体" w:hAnsi="方正小标宋简体" w:eastAsia="方正小标宋简体" w:cs="方正小标宋简体"/>
          <w:color w:val="000000"/>
          <w:kern w:val="0"/>
          <w:sz w:val="30"/>
          <w:szCs w:val="30"/>
          <w:lang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eastAsia="zh-CN" w:bidi="ar"/>
        </w:rPr>
        <w:t>备注：授课教学文件包括：教学大纲、教材、教案、授课计划。</w:t>
      </w: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30"/>
          <w:szCs w:val="30"/>
          <w:lang w:bidi="ar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20" w:beforeLines="100" w:line="560" w:lineRule="exact"/>
        <w:ind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  <w:t>泉州职业技术大学课堂教学质量评价表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320" w:afterLines="100" w:line="560" w:lineRule="exact"/>
        <w:ind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  <w:t>（</w:t>
      </w:r>
      <w:r>
        <w:rPr>
          <w:rFonts w:hint="eastAsia" w:ascii="方正小标宋简体" w:hAnsi="方正小标宋简体" w:eastAsia="方正小标宋简体" w:cs="方正小标宋简体"/>
          <w:color w:val="000000"/>
          <w:spacing w:val="0"/>
          <w:kern w:val="0"/>
          <w:sz w:val="44"/>
          <w:szCs w:val="44"/>
          <w:lang w:val="en-US" w:eastAsia="zh-CN" w:bidi="ar"/>
        </w:rPr>
        <w:t>评课用—</w:t>
      </w: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  <w:t>实验/实训课）</w:t>
      </w:r>
    </w:p>
    <w:tbl>
      <w:tblPr>
        <w:tblStyle w:val="6"/>
        <w:tblW w:w="5486" w:type="pct"/>
        <w:jc w:val="center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26"/>
        <w:gridCol w:w="937"/>
        <w:gridCol w:w="1261"/>
        <w:gridCol w:w="714"/>
        <w:gridCol w:w="1217"/>
        <w:gridCol w:w="1058"/>
        <w:gridCol w:w="1543"/>
        <w:gridCol w:w="795"/>
        <w:gridCol w:w="791"/>
      </w:tblGrid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0" w:hRule="atLeast"/>
          <w:jc w:val="center"/>
        </w:trPr>
        <w:tc>
          <w:tcPr>
            <w:tcW w:w="81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指导教师</w:t>
            </w:r>
          </w:p>
        </w:tc>
        <w:tc>
          <w:tcPr>
            <w:tcW w:w="47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34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班级</w:t>
            </w:r>
          </w:p>
        </w:tc>
        <w:tc>
          <w:tcPr>
            <w:tcW w:w="35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1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学院</w:t>
            </w:r>
          </w:p>
        </w:tc>
        <w:tc>
          <w:tcPr>
            <w:tcW w:w="1304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40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地点</w:t>
            </w:r>
          </w:p>
        </w:tc>
        <w:tc>
          <w:tcPr>
            <w:tcW w:w="398" w:type="pct"/>
            <w:tcBorders>
              <w:tl2br w:val="nil"/>
              <w:tr2bl w:val="nil"/>
            </w:tcBorders>
            <w:shd w:val="clear" w:color="auto" w:fill="auto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  <w:jc w:val="center"/>
        </w:trPr>
        <w:tc>
          <w:tcPr>
            <w:tcW w:w="81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实验/实训项目名称</w:t>
            </w:r>
          </w:p>
        </w:tc>
        <w:tc>
          <w:tcPr>
            <w:tcW w:w="471" w:type="pct"/>
            <w:tcBorders>
              <w:tl2br w:val="nil"/>
              <w:tr2bl w:val="nil"/>
            </w:tcBorders>
            <w:shd w:val="clear" w:color="auto" w:fill="auto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34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应到人数</w:t>
            </w:r>
          </w:p>
        </w:tc>
        <w:tc>
          <w:tcPr>
            <w:tcW w:w="35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12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迟到人数</w:t>
            </w:r>
          </w:p>
        </w:tc>
        <w:tc>
          <w:tcPr>
            <w:tcW w:w="53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77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实到人数</w:t>
            </w:r>
          </w:p>
        </w:tc>
        <w:tc>
          <w:tcPr>
            <w:tcW w:w="799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" w:hRule="atLeast"/>
          <w:jc w:val="center"/>
        </w:trPr>
        <w:tc>
          <w:tcPr>
            <w:tcW w:w="1289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时间：  年 月  日</w:t>
            </w:r>
          </w:p>
        </w:tc>
        <w:tc>
          <w:tcPr>
            <w:tcW w:w="2137" w:type="pct"/>
            <w:gridSpan w:val="4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第（   ）周，星期（  ），节次（   ）</w:t>
            </w:r>
          </w:p>
        </w:tc>
        <w:tc>
          <w:tcPr>
            <w:tcW w:w="77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到课率</w:t>
            </w:r>
          </w:p>
        </w:tc>
        <w:tc>
          <w:tcPr>
            <w:tcW w:w="799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  <w:jc w:val="center"/>
        </w:trPr>
        <w:tc>
          <w:tcPr>
            <w:tcW w:w="5000" w:type="pct"/>
            <w:gridSpan w:val="9"/>
            <w:tcBorders>
              <w:tl2br w:val="nil"/>
              <w:tr2bl w:val="nil"/>
            </w:tcBorders>
            <w:shd w:val="clear" w:color="auto" w:fill="auto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实验/实训课教学质量评价标准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  <w:jc w:val="center"/>
        </w:trPr>
        <w:tc>
          <w:tcPr>
            <w:tcW w:w="81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一级指标</w:t>
            </w:r>
          </w:p>
        </w:tc>
        <w:tc>
          <w:tcPr>
            <w:tcW w:w="3382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二级指标</w:t>
            </w:r>
          </w:p>
        </w:tc>
        <w:tc>
          <w:tcPr>
            <w:tcW w:w="40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分值</w:t>
            </w:r>
          </w:p>
        </w:tc>
        <w:tc>
          <w:tcPr>
            <w:tcW w:w="39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得分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  <w:jc w:val="center"/>
        </w:trPr>
        <w:tc>
          <w:tcPr>
            <w:tcW w:w="81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实验/实训</w:t>
            </w:r>
          </w:p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准备</w:t>
            </w:r>
          </w:p>
        </w:tc>
        <w:tc>
          <w:tcPr>
            <w:tcW w:w="3382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实验/实训文件</w:t>
            </w: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齐全；实验指导教师有准备充分的教案或讲稿；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实验耗材、用品准备充分；实验系统初始化设置到位。</w:t>
            </w:r>
          </w:p>
        </w:tc>
        <w:tc>
          <w:tcPr>
            <w:tcW w:w="40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20</w:t>
            </w:r>
          </w:p>
        </w:tc>
        <w:tc>
          <w:tcPr>
            <w:tcW w:w="39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  <w:jc w:val="center"/>
        </w:trPr>
        <w:tc>
          <w:tcPr>
            <w:tcW w:w="81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教学目标</w:t>
            </w:r>
          </w:p>
        </w:tc>
        <w:tc>
          <w:tcPr>
            <w:tcW w:w="3382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实验/实训</w:t>
            </w: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目的明确，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实验/实训</w:t>
            </w: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内容和技术掌握熟练，操作方法规范，理论联系实际；</w:t>
            </w:r>
          </w:p>
        </w:tc>
        <w:tc>
          <w:tcPr>
            <w:tcW w:w="40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15</w:t>
            </w:r>
          </w:p>
        </w:tc>
        <w:tc>
          <w:tcPr>
            <w:tcW w:w="39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  <w:jc w:val="center"/>
        </w:trPr>
        <w:tc>
          <w:tcPr>
            <w:tcW w:w="81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实验/实训</w:t>
            </w:r>
          </w:p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</w:t>
            </w:r>
          </w:p>
        </w:tc>
        <w:tc>
          <w:tcPr>
            <w:tcW w:w="3382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center"/>
              <w:rPr>
                <w:rStyle w:val="13"/>
                <w:rFonts w:hint="eastAsia" w:ascii="仿宋_GB2312" w:hAnsi="仿宋_GB2312" w:eastAsia="仿宋_GB2312" w:cs="仿宋_GB2312"/>
                <w:lang w:bidi="ar"/>
              </w:rPr>
            </w:pP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根据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学生</w:t>
            </w: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实验/实训的反应，及时帮助学生排除实验/实训过程中出现的问题，指导及时、耐心；</w:t>
            </w:r>
          </w:p>
          <w:p>
            <w:pPr>
              <w:widowControl/>
              <w:textAlignment w:val="center"/>
              <w:rPr>
                <w:rStyle w:val="13"/>
                <w:rFonts w:hint="eastAsia" w:ascii="仿宋_GB2312" w:hAnsi="仿宋_GB2312" w:eastAsia="仿宋_GB2312" w:cs="仿宋_GB2312"/>
                <w:lang w:bidi="ar"/>
              </w:rPr>
            </w:pP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注重培养学生严谨的科学态度，数据记录完整、真实；</w:t>
            </w:r>
          </w:p>
          <w:p>
            <w:pPr>
              <w:widowControl/>
              <w:textAlignment w:val="center"/>
              <w:rPr>
                <w:rStyle w:val="13"/>
                <w:rFonts w:hint="eastAsia" w:ascii="仿宋_GB2312" w:hAnsi="仿宋_GB2312" w:eastAsia="仿宋_GB2312" w:cs="仿宋_GB231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结合</w:t>
            </w: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实验/实训内容提出启发性问题，增加互动.调动学生积极思维；</w:t>
            </w:r>
          </w:p>
          <w:p>
            <w:pPr>
              <w:widowControl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实验/实训</w:t>
            </w: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秩序管理有序，注意实验/实训安全，不随意离开岗位。</w:t>
            </w:r>
          </w:p>
        </w:tc>
        <w:tc>
          <w:tcPr>
            <w:tcW w:w="40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35</w:t>
            </w:r>
          </w:p>
        </w:tc>
        <w:tc>
          <w:tcPr>
            <w:tcW w:w="39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  <w:jc w:val="center"/>
        </w:trPr>
        <w:tc>
          <w:tcPr>
            <w:tcW w:w="81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实验/实训</w:t>
            </w:r>
          </w:p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课程组织</w:t>
            </w:r>
          </w:p>
        </w:tc>
        <w:tc>
          <w:tcPr>
            <w:tcW w:w="3382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学生到课及时，出勤率高；实验/实训</w:t>
            </w: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秩序管理有序，注意实验/实训安全，不随意离开岗位。</w:t>
            </w:r>
          </w:p>
        </w:tc>
        <w:tc>
          <w:tcPr>
            <w:tcW w:w="40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10</w:t>
            </w:r>
          </w:p>
        </w:tc>
        <w:tc>
          <w:tcPr>
            <w:tcW w:w="39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  <w:jc w:val="center"/>
        </w:trPr>
        <w:tc>
          <w:tcPr>
            <w:tcW w:w="81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实验效果</w:t>
            </w:r>
          </w:p>
        </w:tc>
        <w:tc>
          <w:tcPr>
            <w:tcW w:w="3382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学生兴趣浓厚，学生能独立进行</w:t>
            </w: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实验/实训操作，动手能力强；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学生在教师指导下能独立完成</w:t>
            </w:r>
            <w:r>
              <w:rPr>
                <w:rStyle w:val="13"/>
                <w:rFonts w:hint="eastAsia" w:ascii="仿宋_GB2312" w:hAnsi="仿宋_GB2312" w:eastAsia="仿宋_GB2312" w:cs="仿宋_GB2312"/>
                <w:lang w:bidi="ar"/>
              </w:rPr>
              <w:t>实验/实训报告。</w:t>
            </w:r>
          </w:p>
        </w:tc>
        <w:tc>
          <w:tcPr>
            <w:tcW w:w="40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20</w:t>
            </w:r>
          </w:p>
        </w:tc>
        <w:tc>
          <w:tcPr>
            <w:tcW w:w="39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  <w:jc w:val="center"/>
        </w:trPr>
        <w:tc>
          <w:tcPr>
            <w:tcW w:w="81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评价</w:t>
            </w:r>
          </w:p>
        </w:tc>
        <w:tc>
          <w:tcPr>
            <w:tcW w:w="3382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（等级：优秀：90—100分；良好：80—89分；合格：60—79分；不合格：60分以下）</w:t>
            </w:r>
          </w:p>
        </w:tc>
        <w:tc>
          <w:tcPr>
            <w:tcW w:w="400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100</w:t>
            </w:r>
          </w:p>
        </w:tc>
        <w:tc>
          <w:tcPr>
            <w:tcW w:w="39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" w:hRule="atLeast"/>
          <w:jc w:val="center"/>
        </w:trPr>
        <w:tc>
          <w:tcPr>
            <w:tcW w:w="5000" w:type="pct"/>
            <w:gridSpan w:val="9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教学过程记录</w:t>
            </w: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  <w:p>
            <w:pP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0" w:hRule="atLeast"/>
          <w:jc w:val="center"/>
        </w:trPr>
        <w:tc>
          <w:tcPr>
            <w:tcW w:w="5000" w:type="pct"/>
            <w:gridSpan w:val="9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评价与建议</w:t>
            </w:r>
          </w:p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  <w:t>督导：                                      被听课人：</w:t>
            </w:r>
          </w:p>
        </w:tc>
      </w:tr>
    </w:tbl>
    <w:p>
      <w:pPr>
        <w:spacing w:before="0" w:beforeLines="-2147483648" w:line="240" w:lineRule="auto"/>
        <w:ind w:firstLine="0" w:firstLineChars="0"/>
        <w:rPr>
          <w:rFonts w:hint="eastAsia" w:ascii="方正小标宋简体" w:hAnsi="方正小标宋简体" w:eastAsia="方正小标宋简体" w:cs="方正小标宋简体"/>
          <w:color w:val="000000"/>
          <w:kern w:val="0"/>
          <w:sz w:val="32"/>
          <w:szCs w:val="32"/>
          <w:lang w:bidi="ar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32"/>
          <w:szCs w:val="32"/>
          <w:lang w:bidi="ar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20" w:beforeLines="100" w:line="560" w:lineRule="exact"/>
        <w:ind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  <w:t>泉州职业技术大学课堂教学质量评价表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320" w:afterLines="100" w:line="560" w:lineRule="exact"/>
        <w:ind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  <w:t>（</w:t>
      </w:r>
      <w:r>
        <w:rPr>
          <w:rFonts w:hint="eastAsia" w:ascii="方正小标宋简体" w:hAnsi="方正小标宋简体" w:eastAsia="方正小标宋简体" w:cs="方正小标宋简体"/>
          <w:color w:val="000000"/>
          <w:spacing w:val="0"/>
          <w:kern w:val="0"/>
          <w:sz w:val="44"/>
          <w:szCs w:val="44"/>
          <w:lang w:val="en-US" w:eastAsia="zh-CN" w:bidi="ar"/>
        </w:rPr>
        <w:t>评课用—</w:t>
      </w: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44"/>
          <w:szCs w:val="44"/>
          <w:lang w:bidi="ar"/>
        </w:rPr>
        <w:t>体育课）</w:t>
      </w:r>
    </w:p>
    <w:tbl>
      <w:tblPr>
        <w:tblStyle w:val="6"/>
        <w:tblW w:w="5297" w:type="pct"/>
        <w:jc w:val="center"/>
        <w:tblBorders>
          <w:top w:val="single" w:color="000000" w:sz="12" w:space="0"/>
          <w:left w:val="single" w:color="000000" w:sz="12" w:space="0"/>
          <w:bottom w:val="single" w:color="000000" w:sz="12" w:space="0"/>
          <w:right w:val="single" w:color="000000" w:sz="12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93"/>
        <w:gridCol w:w="847"/>
        <w:gridCol w:w="1273"/>
        <w:gridCol w:w="954"/>
        <w:gridCol w:w="1198"/>
        <w:gridCol w:w="860"/>
        <w:gridCol w:w="1357"/>
        <w:gridCol w:w="843"/>
        <w:gridCol w:w="774"/>
      </w:tblGrid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0" w:hRule="atLeast"/>
          <w:jc w:val="center"/>
        </w:trPr>
        <w:tc>
          <w:tcPr>
            <w:tcW w:w="77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教师</w:t>
            </w:r>
          </w:p>
        </w:tc>
        <w:tc>
          <w:tcPr>
            <w:tcW w:w="44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6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班级</w:t>
            </w:r>
          </w:p>
        </w:tc>
        <w:tc>
          <w:tcPr>
            <w:tcW w:w="497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24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学院</w:t>
            </w:r>
          </w:p>
        </w:tc>
        <w:tc>
          <w:tcPr>
            <w:tcW w:w="1153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43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地点</w:t>
            </w:r>
          </w:p>
        </w:tc>
        <w:tc>
          <w:tcPr>
            <w:tcW w:w="40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5" w:hRule="atLeast"/>
          <w:jc w:val="center"/>
        </w:trPr>
        <w:tc>
          <w:tcPr>
            <w:tcW w:w="77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课程名称</w:t>
            </w:r>
          </w:p>
        </w:tc>
        <w:tc>
          <w:tcPr>
            <w:tcW w:w="441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6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应到人数</w:t>
            </w:r>
          </w:p>
        </w:tc>
        <w:tc>
          <w:tcPr>
            <w:tcW w:w="497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624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迟到人数</w:t>
            </w:r>
          </w:p>
        </w:tc>
        <w:tc>
          <w:tcPr>
            <w:tcW w:w="447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</w:p>
        </w:tc>
        <w:tc>
          <w:tcPr>
            <w:tcW w:w="70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实到人数</w:t>
            </w:r>
          </w:p>
        </w:tc>
        <w:tc>
          <w:tcPr>
            <w:tcW w:w="842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" w:hRule="atLeast"/>
          <w:jc w:val="center"/>
        </w:trPr>
        <w:tc>
          <w:tcPr>
            <w:tcW w:w="1219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时间：  年  月   日</w:t>
            </w:r>
          </w:p>
        </w:tc>
        <w:tc>
          <w:tcPr>
            <w:tcW w:w="2232" w:type="pct"/>
            <w:gridSpan w:val="4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第（    ）周，星期（   ），节次（    ）</w:t>
            </w:r>
          </w:p>
        </w:tc>
        <w:tc>
          <w:tcPr>
            <w:tcW w:w="705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到课率</w:t>
            </w:r>
          </w:p>
        </w:tc>
        <w:tc>
          <w:tcPr>
            <w:tcW w:w="842" w:type="pct"/>
            <w:gridSpan w:val="2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color w:val="000000"/>
                <w:sz w:val="22"/>
                <w:szCs w:val="22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5000" w:type="pct"/>
            <w:gridSpan w:val="9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体育课教学质量评价标准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77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一级指标</w:t>
            </w:r>
          </w:p>
        </w:tc>
        <w:tc>
          <w:tcPr>
            <w:tcW w:w="3379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ind w:firstLine="2120" w:firstLineChars="1000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二级指标</w:t>
            </w:r>
          </w:p>
        </w:tc>
        <w:tc>
          <w:tcPr>
            <w:tcW w:w="43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分值</w:t>
            </w:r>
          </w:p>
        </w:tc>
        <w:tc>
          <w:tcPr>
            <w:tcW w:w="40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得分</w:t>
            </w: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77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教学态度</w:t>
            </w:r>
          </w:p>
        </w:tc>
        <w:tc>
          <w:tcPr>
            <w:tcW w:w="3379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提前到达场地，器材准备到位；服装得体，行为规范，精神饱满；教案完整、规范，安排合理</w:t>
            </w:r>
          </w:p>
        </w:tc>
        <w:tc>
          <w:tcPr>
            <w:tcW w:w="43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20</w:t>
            </w:r>
          </w:p>
        </w:tc>
        <w:tc>
          <w:tcPr>
            <w:tcW w:w="40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77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教学目标与内容</w:t>
            </w:r>
          </w:p>
        </w:tc>
        <w:tc>
          <w:tcPr>
            <w:tcW w:w="3379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挖掘课程思政元素，融入教学内容，知识、能力和素质目标明确；讲授内容注意理论与实践相结合。</w:t>
            </w:r>
          </w:p>
        </w:tc>
        <w:tc>
          <w:tcPr>
            <w:tcW w:w="43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15</w:t>
            </w:r>
          </w:p>
        </w:tc>
        <w:tc>
          <w:tcPr>
            <w:tcW w:w="40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77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ind w:firstLine="212" w:firstLineChars="100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教学过程</w:t>
            </w:r>
          </w:p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3379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讲解简明扼要，重点突出，示范动作准确、规范、熟练；运动负荷(学生动作数量、强度)符合教学要求的学生生理要求；教学方法灵活，能及时发现学生错误动作，并指导、示范到位；与学生互动充分，课堂气氛活跃，</w:t>
            </w:r>
          </w:p>
        </w:tc>
        <w:tc>
          <w:tcPr>
            <w:tcW w:w="43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35</w:t>
            </w:r>
          </w:p>
        </w:tc>
        <w:tc>
          <w:tcPr>
            <w:tcW w:w="40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77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课堂组织</w:t>
            </w:r>
          </w:p>
        </w:tc>
        <w:tc>
          <w:tcPr>
            <w:tcW w:w="3379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重视安全教育；课堂调控能力强，根据学生运动状态把握教学节奏，教学秩序良好。</w:t>
            </w:r>
          </w:p>
        </w:tc>
        <w:tc>
          <w:tcPr>
            <w:tcW w:w="43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10</w:t>
            </w:r>
          </w:p>
        </w:tc>
        <w:tc>
          <w:tcPr>
            <w:tcW w:w="40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77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ind w:firstLine="212" w:firstLineChars="100"/>
              <w:rPr>
                <w:rFonts w:hint="eastAsia" w:ascii="仿宋_GB2312" w:hAnsi="仿宋_GB2312" w:eastAsia="仿宋_GB2312" w:cs="仿宋_GB2312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教学效果</w:t>
            </w:r>
          </w:p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</w:p>
        </w:tc>
        <w:tc>
          <w:tcPr>
            <w:tcW w:w="3379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学生积极主动，参与意识强，课堂互动气氛活跃；学生基本能掌握本课知识、能力和技能。</w:t>
            </w:r>
          </w:p>
        </w:tc>
        <w:tc>
          <w:tcPr>
            <w:tcW w:w="43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20</w:t>
            </w:r>
          </w:p>
        </w:tc>
        <w:tc>
          <w:tcPr>
            <w:tcW w:w="40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778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评价</w:t>
            </w:r>
          </w:p>
        </w:tc>
        <w:tc>
          <w:tcPr>
            <w:tcW w:w="3379" w:type="pct"/>
            <w:gridSpan w:val="6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  <w:t>（等级：优秀：90—100分；良好：80—89分；合格：60—79分；不合格：60分以下）</w:t>
            </w:r>
          </w:p>
        </w:tc>
        <w:tc>
          <w:tcPr>
            <w:tcW w:w="439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sz w:val="22"/>
                <w:szCs w:val="22"/>
              </w:rPr>
              <w:t>100</w:t>
            </w:r>
          </w:p>
        </w:tc>
        <w:tc>
          <w:tcPr>
            <w:tcW w:w="403" w:type="pc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5000" w:type="pct"/>
            <w:gridSpan w:val="9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left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  <w:t>教学过程记录</w:t>
            </w:r>
          </w:p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</w:p>
        </w:tc>
      </w:tr>
      <w:tr>
        <w:tblPrEx>
          <w:tblBorders>
            <w:top w:val="single" w:color="000000" w:sz="12" w:space="0"/>
            <w:left w:val="single" w:color="000000" w:sz="12" w:space="0"/>
            <w:bottom w:val="single" w:color="000000" w:sz="12" w:space="0"/>
            <w:right w:val="single" w:color="000000" w:sz="12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  <w:jc w:val="center"/>
        </w:trPr>
        <w:tc>
          <w:tcPr>
            <w:tcW w:w="5000" w:type="pct"/>
            <w:gridSpan w:val="9"/>
            <w:tcBorders>
              <w:bottom w:val="single" w:color="000000" w:sz="12" w:space="0"/>
            </w:tcBorders>
            <w:shd w:val="clear" w:color="auto" w:fill="auto"/>
            <w:vAlign w:val="center"/>
          </w:tcPr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  <w:t>评价与建议</w:t>
            </w:r>
          </w:p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jc w:val="left"/>
              <w:textAlignment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</w:pPr>
          </w:p>
          <w:p>
            <w:pPr>
              <w:widowControl/>
              <w:textAlignment w:val="top"/>
              <w:rPr>
                <w:rFonts w:hint="eastAsia" w:ascii="仿宋_GB2312" w:hAnsi="仿宋_GB2312" w:eastAsia="仿宋_GB2312" w:cs="仿宋_GB2312"/>
                <w:b/>
                <w:bCs/>
                <w:color w:val="000000"/>
                <w:kern w:val="0"/>
                <w:sz w:val="22"/>
                <w:szCs w:val="22"/>
                <w:lang w:bidi="ar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  <w:lang w:bidi="ar"/>
              </w:rPr>
              <w:t>督导：                                      被听课人：</w:t>
            </w:r>
          </w:p>
        </w:tc>
      </w:tr>
    </w:tbl>
    <w:p>
      <w:pPr>
        <w:spacing w:line="240" w:lineRule="auto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br w:type="page"/>
      </w:r>
    </w:p>
    <w:p>
      <w:pPr>
        <w:widowControl/>
        <w:spacing w:line="360" w:lineRule="atLeast"/>
        <w:jc w:val="left"/>
        <w:textAlignment w:val="baseline"/>
        <w:rPr>
          <w:rFonts w:hint="default" w:ascii="黑体" w:hAnsi="黑体" w:eastAsia="黑体" w:cs="宋体"/>
          <w:b w:val="0"/>
          <w:color w:val="333333"/>
          <w:kern w:val="0"/>
          <w:sz w:val="32"/>
          <w:szCs w:val="32"/>
          <w:lang w:val="en-US" w:eastAsia="zh-CN"/>
        </w:rPr>
      </w:pPr>
      <w:r>
        <w:rPr>
          <w:rFonts w:hint="default" w:ascii="黑体" w:hAnsi="黑体" w:eastAsia="黑体" w:cs="宋体"/>
          <w:b w:val="0"/>
          <w:color w:val="333333"/>
          <w:kern w:val="0"/>
          <w:sz w:val="32"/>
          <w:szCs w:val="32"/>
          <w:lang w:eastAsia="zh-CN"/>
        </w:rPr>
        <w:t>附件</w:t>
      </w:r>
      <w:r>
        <w:rPr>
          <w:rFonts w:hint="default" w:ascii="黑体" w:hAnsi="黑体" w:eastAsia="黑体" w:cs="宋体"/>
          <w:b w:val="0"/>
          <w:color w:val="333333"/>
          <w:kern w:val="0"/>
          <w:sz w:val="32"/>
          <w:szCs w:val="32"/>
          <w:lang w:val="en-US" w:eastAsia="zh-CN"/>
        </w:rPr>
        <w:t>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20" w:beforeLines="100" w:line="560" w:lineRule="exact"/>
        <w:ind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color w:val="000000"/>
          <w:kern w:val="0"/>
          <w:sz w:val="44"/>
          <w:szCs w:val="44"/>
          <w:lang w:bidi="ar"/>
        </w:rPr>
      </w:pPr>
      <w:r>
        <w:rPr>
          <w:rFonts w:hint="eastAsia" w:ascii="方正小标宋简体" w:hAnsi="方正小标宋简体" w:eastAsia="方正小标宋简体" w:cs="方正小标宋简体"/>
          <w:b w:val="0"/>
          <w:color w:val="000000"/>
          <w:kern w:val="0"/>
          <w:sz w:val="44"/>
          <w:szCs w:val="44"/>
          <w:lang w:bidi="ar"/>
        </w:rPr>
        <w:t>泉州</w:t>
      </w:r>
      <w:r>
        <w:rPr>
          <w:rFonts w:hint="eastAsia" w:ascii="方正小标宋简体" w:hAnsi="方正小标宋简体" w:eastAsia="方正小标宋简体" w:cs="方正小标宋简体"/>
          <w:b w:val="0"/>
          <w:color w:val="000000"/>
          <w:kern w:val="0"/>
          <w:sz w:val="44"/>
          <w:szCs w:val="44"/>
          <w:lang w:eastAsia="zh-CN" w:bidi="ar"/>
        </w:rPr>
        <w:t>职业技术大学</w:t>
      </w:r>
      <w:r>
        <w:rPr>
          <w:rFonts w:hint="eastAsia" w:ascii="方正小标宋简体" w:hAnsi="方正小标宋简体" w:eastAsia="方正小标宋简体" w:cs="方正小标宋简体"/>
          <w:b w:val="0"/>
          <w:color w:val="000000"/>
          <w:kern w:val="0"/>
          <w:sz w:val="44"/>
          <w:szCs w:val="44"/>
          <w:lang w:bidi="ar"/>
        </w:rPr>
        <w:t>课堂教学质量评价表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320" w:afterLines="100" w:line="560" w:lineRule="exact"/>
        <w:ind w:left="0" w:leftChars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color w:val="000000"/>
          <w:kern w:val="0"/>
          <w:sz w:val="44"/>
          <w:szCs w:val="44"/>
          <w:lang w:bidi="ar"/>
        </w:rPr>
      </w:pPr>
      <w:r>
        <w:rPr>
          <w:rFonts w:hint="eastAsia" w:ascii="方正小标宋简体" w:hAnsi="方正小标宋简体" w:eastAsia="方正小标宋简体" w:cs="方正小标宋简体"/>
          <w:b w:val="0"/>
          <w:color w:val="000000"/>
          <w:kern w:val="0"/>
          <w:sz w:val="44"/>
          <w:szCs w:val="44"/>
          <w:lang w:bidi="ar"/>
        </w:rPr>
        <w:t>（</w:t>
      </w:r>
      <w:r>
        <w:rPr>
          <w:rFonts w:hint="eastAsia" w:ascii="方正小标宋简体" w:hAnsi="方正小标宋简体" w:eastAsia="方正小标宋简体" w:cs="方正小标宋简体"/>
          <w:b w:val="0"/>
          <w:color w:val="000000"/>
          <w:kern w:val="0"/>
          <w:sz w:val="44"/>
          <w:szCs w:val="44"/>
          <w:lang w:eastAsia="zh-CN" w:bidi="ar"/>
        </w:rPr>
        <w:t>学生</w:t>
      </w:r>
      <w:r>
        <w:rPr>
          <w:rFonts w:hint="eastAsia" w:ascii="方正小标宋简体" w:hAnsi="方正小标宋简体" w:eastAsia="方正小标宋简体" w:cs="方正小标宋简体"/>
          <w:b w:val="0"/>
          <w:color w:val="000000"/>
          <w:kern w:val="0"/>
          <w:sz w:val="44"/>
          <w:szCs w:val="44"/>
          <w:lang w:bidi="ar"/>
        </w:rPr>
        <w:t>用）</w:t>
      </w:r>
    </w:p>
    <w:tbl>
      <w:tblPr>
        <w:tblStyle w:val="6"/>
        <w:tblpPr w:leftFromText="180" w:rightFromText="180" w:vertAnchor="text" w:horzAnchor="margin" w:tblpXSpec="center" w:tblpY="143"/>
        <w:tblW w:w="10031" w:type="dxa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03"/>
        <w:gridCol w:w="5393"/>
        <w:gridCol w:w="460"/>
        <w:gridCol w:w="484"/>
        <w:gridCol w:w="379"/>
        <w:gridCol w:w="545"/>
        <w:gridCol w:w="667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11" w:hRule="atLeast"/>
        </w:trPr>
        <w:tc>
          <w:tcPr>
            <w:tcW w:w="2103" w:type="dxa"/>
            <w:vMerge w:val="restart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2"/>
                <w:szCs w:val="22"/>
                <w:highlight w:val="none"/>
              </w:rPr>
              <w:t>评议类别</w:t>
            </w:r>
          </w:p>
        </w:tc>
        <w:tc>
          <w:tcPr>
            <w:tcW w:w="5393" w:type="dxa"/>
            <w:vMerge w:val="restart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sz w:val="22"/>
                <w:szCs w:val="22"/>
                <w:highlight w:val="none"/>
              </w:rPr>
              <w:t>评议标准</w:t>
            </w:r>
          </w:p>
        </w:tc>
        <w:tc>
          <w:tcPr>
            <w:tcW w:w="2535" w:type="dxa"/>
            <w:gridSpan w:val="5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b/>
                <w:bCs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b/>
                <w:bCs/>
                <w:kern w:val="0"/>
                <w:sz w:val="22"/>
                <w:szCs w:val="22"/>
                <w:highlight w:val="none"/>
              </w:rPr>
              <w:t>评价等级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3" w:hRule="atLeast"/>
        </w:trPr>
        <w:tc>
          <w:tcPr>
            <w:tcW w:w="2103" w:type="dxa"/>
            <w:vMerge w:val="continue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sz w:val="22"/>
                <w:szCs w:val="22"/>
                <w:highlight w:val="none"/>
              </w:rPr>
            </w:pPr>
          </w:p>
        </w:tc>
        <w:tc>
          <w:tcPr>
            <w:tcW w:w="5393" w:type="dxa"/>
            <w:vMerge w:val="continue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/>
                <w:bCs/>
                <w:sz w:val="22"/>
                <w:szCs w:val="22"/>
                <w:highlight w:val="none"/>
              </w:rPr>
            </w:pP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b/>
                <w:bCs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得分</w:t>
            </w: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优秀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良好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合格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不合格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restart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u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u w:val="none"/>
              </w:rPr>
              <w:t>教学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u w:val="none"/>
                <w:lang w:eastAsia="zh-CN"/>
              </w:rPr>
              <w:t>态度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（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val="en-US" w:eastAsia="zh-CN"/>
              </w:rPr>
              <w:t>2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0分）</w:t>
            </w: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u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u w:val="none"/>
                <w:lang w:eastAsia="zh-CN"/>
              </w:rPr>
              <w:t>教师教学态度良好，经常与学生沟通，征求对教学的意见，改进教学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10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8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6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continue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是否存在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迟到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、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早退、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缺课，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上课玩手机、接打电话等行为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5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4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3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continue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讲课熟练，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声音宏亮，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善于管理、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调节课堂气氛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5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4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3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restart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教学内容（30分）</w:t>
            </w: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教学目标明确，内容科学，概念准确，操作演示规范正确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10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8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6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continue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pacing w:val="-4"/>
                <w:kern w:val="0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pacing w:val="-4"/>
                <w:kern w:val="0"/>
                <w:sz w:val="22"/>
                <w:szCs w:val="22"/>
                <w:highlight w:val="none"/>
                <w:lang w:eastAsia="zh-CN"/>
              </w:rPr>
              <w:t>教学内容充实、系统，</w:t>
            </w:r>
            <w:r>
              <w:rPr>
                <w:rFonts w:hint="eastAsia" w:ascii="仿宋_GB2312" w:hAnsi="仿宋_GB2312" w:eastAsia="仿宋_GB2312" w:cs="仿宋_GB2312"/>
                <w:spacing w:val="-4"/>
                <w:kern w:val="0"/>
                <w:sz w:val="22"/>
                <w:szCs w:val="22"/>
                <w:highlight w:val="none"/>
              </w:rPr>
              <w:t>深度广度适宜</w:t>
            </w:r>
            <w:r>
              <w:rPr>
                <w:rFonts w:hint="eastAsia" w:ascii="仿宋_GB2312" w:hAnsi="仿宋_GB2312" w:eastAsia="仿宋_GB2312" w:cs="仿宋_GB2312"/>
                <w:spacing w:val="-4"/>
                <w:kern w:val="0"/>
                <w:sz w:val="22"/>
                <w:szCs w:val="22"/>
                <w:highlight w:val="none"/>
                <w:lang w:eastAsia="zh-CN"/>
              </w:rPr>
              <w:t>，条理清楚，重点突出，难点讲解透彻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10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8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6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continue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  <w:t>理论联系实际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，举例典型确切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5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4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3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continue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把思想引导和价值观塑造融入教学之中，将育人元素纳入授课内容，结合课程特点将</w:t>
            </w: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  <w:t>思政元素</w:t>
            </w: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融入教学体系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5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4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3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教材（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val="en-US" w:eastAsia="zh-CN"/>
              </w:rPr>
              <w:t>10分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）</w:t>
            </w: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选用的教材满足学习需求，贴合专业要求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2"/>
                <w:sz w:val="22"/>
                <w:szCs w:val="22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10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2"/>
                <w:sz w:val="22"/>
                <w:szCs w:val="22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8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2"/>
                <w:sz w:val="22"/>
                <w:szCs w:val="22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6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2"/>
                <w:sz w:val="22"/>
                <w:szCs w:val="22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restart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教学方法（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val="en-US" w:eastAsia="zh-CN"/>
              </w:rPr>
              <w:t>20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分）</w:t>
            </w: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灵活运用多种先进的教学方法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，激发学生学习兴趣，指导学习方法和研究方法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10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8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6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continue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  <w:t>合理布置作业，及时批改和讲评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5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4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3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continue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善于运用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现代教育技术手段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、</w:t>
            </w: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  <w:t>板书</w:t>
            </w: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  <w:lang w:eastAsia="zh-CN"/>
              </w:rPr>
              <w:t>和信息化教学平台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5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4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3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val="en-US" w:eastAsia="zh-CN"/>
              </w:rPr>
              <w:t>2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46" w:hRule="atLeast"/>
        </w:trPr>
        <w:tc>
          <w:tcPr>
            <w:tcW w:w="2103" w:type="dxa"/>
            <w:vMerge w:val="restart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  <w:t>教学效果（20分）</w:t>
            </w: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  <w:t>学生注意力集中，课堂气氛良好，师生互动活跃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2"/>
                <w:sz w:val="22"/>
                <w:szCs w:val="22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10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2"/>
                <w:sz w:val="22"/>
                <w:szCs w:val="22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8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2"/>
                <w:sz w:val="22"/>
                <w:szCs w:val="22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6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2"/>
                <w:sz w:val="22"/>
                <w:szCs w:val="22"/>
                <w:highlight w:val="none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223" w:hRule="atLeast"/>
        </w:trPr>
        <w:tc>
          <w:tcPr>
            <w:tcW w:w="2103" w:type="dxa"/>
            <w:vMerge w:val="continue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539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>
            <w:pP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  <w:lang w:eastAsia="zh-CN"/>
              </w:rPr>
              <w:t>学生对理论知识、技能的掌握，分析和解决问题及创新能力的培养等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jc w:val="center"/>
              <w:rPr>
                <w:rFonts w:hint="eastAsia" w:ascii="仿宋_GB2312" w:hAnsi="仿宋_GB2312" w:eastAsia="仿宋_GB2312" w:cs="仿宋_GB2312"/>
                <w:kern w:val="0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10</w:t>
            </w: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8</w:t>
            </w: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6</w:t>
            </w: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4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61" w:hRule="atLeast"/>
        </w:trPr>
        <w:tc>
          <w:tcPr>
            <w:tcW w:w="7496" w:type="dxa"/>
            <w:gridSpan w:val="2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  <w:r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  <w:t>合计</w:t>
            </w:r>
          </w:p>
        </w:tc>
        <w:tc>
          <w:tcPr>
            <w:tcW w:w="460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484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379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545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  <w:tc>
          <w:tcPr>
            <w:tcW w:w="667" w:type="dxa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center"/>
          </w:tcPr>
          <w:p>
            <w:pPr>
              <w:widowControl/>
              <w:jc w:val="center"/>
              <w:rPr>
                <w:rFonts w:hint="eastAsia" w:ascii="仿宋_GB2312" w:hAnsi="仿宋_GB2312" w:eastAsia="仿宋_GB2312" w:cs="仿宋_GB2312"/>
                <w:sz w:val="22"/>
                <w:szCs w:val="22"/>
                <w:highlight w:val="none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161" w:hRule="atLeast"/>
        </w:trPr>
        <w:tc>
          <w:tcPr>
            <w:tcW w:w="10031" w:type="dxa"/>
            <w:gridSpan w:val="7"/>
            <w:tcBorders>
              <w:tl2br w:val="nil"/>
              <w:tr2bl w:val="nil"/>
            </w:tcBorders>
            <w:shd w:val="clear" w:color="auto" w:fill="auto"/>
            <w:tcMar>
              <w:top w:w="0" w:type="dxa"/>
              <w:left w:w="113" w:type="dxa"/>
              <w:bottom w:w="0" w:type="dxa"/>
              <w:right w:w="113" w:type="dxa"/>
            </w:tcMar>
            <w:vAlign w:val="top"/>
          </w:tcPr>
          <w:p>
            <w:pPr>
              <w:widowControl/>
              <w:jc w:val="both"/>
              <w:rPr>
                <w:rFonts w:hint="eastAsia"/>
                <w:lang w:eastAsia="zh-CN"/>
              </w:rPr>
            </w:pPr>
            <w:r>
              <w:rPr>
                <w:rFonts w:hint="eastAsia"/>
                <w:lang w:eastAsia="zh-CN"/>
              </w:rPr>
              <w:t>你对教师教学、课堂管理还有哪些意见或建议?</w:t>
            </w:r>
          </w:p>
          <w:p>
            <w:pPr>
              <w:pStyle w:val="2"/>
              <w:rPr>
                <w:rFonts w:hint="eastAsia"/>
              </w:rPr>
            </w:pPr>
          </w:p>
        </w:tc>
      </w:tr>
    </w:tbl>
    <w:p>
      <w:pPr>
        <w:spacing w:line="570" w:lineRule="exact"/>
        <w:rPr>
          <w:rFonts w:eastAsia="仿宋_GB2312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Autospacing="0" w:line="14" w:lineRule="exact"/>
        <w:ind w:left="0" w:leftChars="0" w:right="0" w:rightChars="0" w:firstLine="0" w:firstLineChars="0"/>
        <w:jc w:val="both"/>
        <w:textAlignment w:val="auto"/>
        <w:outlineLvl w:val="9"/>
        <w:rPr>
          <w:rFonts w:hint="eastAsia" w:ascii="仿宋" w:hAnsi="仿宋" w:eastAsia="仿宋" w:cs="仿宋"/>
          <w:color w:val="auto"/>
          <w:sz w:val="28"/>
          <w:szCs w:val="28"/>
        </w:rPr>
      </w:pPr>
      <w:bookmarkStart w:id="1" w:name="fyz"/>
      <w:bookmarkEnd w:id="1"/>
    </w:p>
    <w:tbl>
      <w:tblPr>
        <w:tblStyle w:val="6"/>
        <w:tblpPr w:leftFromText="181" w:rightFromText="181" w:horzAnchor="margin" w:tblpXSpec="center" w:tblpYSpec="bottom"/>
        <w:tblOverlap w:val="never"/>
        <w:tblW w:w="9030" w:type="dxa"/>
        <w:jc w:val="center"/>
        <w:tblLayout w:type="fixed"/>
        <w:tblCellMar>
          <w:top w:w="0" w:type="dxa"/>
          <w:left w:w="28" w:type="dxa"/>
          <w:bottom w:w="0" w:type="dxa"/>
          <w:right w:w="28" w:type="dxa"/>
        </w:tblCellMar>
      </w:tblPr>
      <w:tblGrid>
        <w:gridCol w:w="4580"/>
        <w:gridCol w:w="4450"/>
      </w:tblGrid>
      <w:tr>
        <w:tblPrEx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4580" w:type="dxa"/>
            <w:tcBorders>
              <w:top w:val="single" w:color="auto" w:sz="12" w:space="0"/>
              <w:left w:val="nil"/>
              <w:bottom w:val="single" w:color="auto" w:sz="4" w:space="0"/>
              <w:right w:val="nil"/>
            </w:tcBorders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00" w:afterAutospacing="0" w:line="590" w:lineRule="exact"/>
              <w:ind w:left="202" w:leftChars="100" w:right="202" w:rightChars="100" w:firstLine="0" w:firstLineChars="0"/>
              <w:jc w:val="left"/>
              <w:textAlignment w:val="bottom"/>
              <w:outlineLvl w:val="9"/>
              <w:rPr>
                <w:rFonts w:hint="eastAsia" w:ascii="仿宋_GB2312" w:hAnsi="仿宋" w:eastAsia="仿宋_GB2312" w:cs="仿宋_GB2312"/>
                <w:color w:val="auto"/>
                <w:sz w:val="28"/>
                <w:lang w:eastAsia="zh-CN"/>
              </w:rPr>
            </w:pPr>
            <w:r>
              <w:rPr>
                <w:rFonts w:hint="eastAsia" w:ascii="仿宋_GB2312" w:hAnsi="仿宋" w:eastAsia="仿宋_GB2312" w:cs="仿宋_GB2312"/>
                <w:color w:val="auto"/>
                <w:sz w:val="28"/>
              </w:rPr>
              <w:t>抄送：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  <w:lang w:eastAsia="zh-CN"/>
              </w:rPr>
              <w:t>校领导。</w:t>
            </w:r>
          </w:p>
        </w:tc>
        <w:tc>
          <w:tcPr>
            <w:tcW w:w="4450" w:type="dxa"/>
            <w:tcBorders>
              <w:top w:val="single" w:color="auto" w:sz="12" w:space="0"/>
              <w:left w:val="nil"/>
              <w:bottom w:val="single" w:color="auto" w:sz="4" w:space="0"/>
              <w:right w:val="nil"/>
            </w:tcBorders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00" w:afterAutospacing="0" w:line="590" w:lineRule="exact"/>
              <w:ind w:left="202" w:leftChars="100" w:right="202" w:rightChars="100" w:firstLine="0" w:firstLineChars="0"/>
              <w:jc w:val="right"/>
              <w:textAlignment w:val="bottom"/>
              <w:outlineLvl w:val="9"/>
              <w:rPr>
                <w:rFonts w:hint="default" w:ascii="仿宋_GB2312" w:hAnsi="仿宋" w:eastAsia="仿宋_GB2312" w:cs="仿宋_GB2312"/>
                <w:color w:val="auto"/>
                <w:sz w:val="28"/>
                <w:lang w:val="en-US" w:eastAsia="zh-CN"/>
              </w:rPr>
            </w:pPr>
            <w:r>
              <w:rPr>
                <w:rFonts w:hint="eastAsia" w:ascii="仿宋_GB2312" w:hAnsi="仿宋" w:eastAsia="仿宋_GB2312" w:cs="仿宋_GB2312"/>
                <w:color w:val="auto"/>
                <w:sz w:val="28"/>
                <w:lang w:eastAsia="zh-CN"/>
              </w:rPr>
              <w:t>存档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  <w:lang w:val="en-US" w:eastAsia="zh-CN"/>
              </w:rPr>
              <w:t>2份</w:t>
            </w:r>
          </w:p>
        </w:tc>
      </w:tr>
      <w:tr>
        <w:tblPrEx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4580" w:type="dxa"/>
            <w:tcBorders>
              <w:top w:val="single" w:color="auto" w:sz="4" w:space="0"/>
              <w:left w:val="nil"/>
              <w:bottom w:val="single" w:color="auto" w:sz="12" w:space="0"/>
              <w:right w:val="nil"/>
            </w:tcBorders>
            <w:noWrap w:val="0"/>
            <w:vAlign w:val="bottom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after="100" w:afterAutospacing="0" w:line="590" w:lineRule="exact"/>
              <w:ind w:left="202" w:leftChars="100" w:right="202" w:rightChars="100" w:firstLine="0" w:firstLineChars="0"/>
              <w:textAlignment w:val="auto"/>
              <w:rPr>
                <w:rFonts w:ascii="仿宋_GB2312" w:hAnsi="仿宋" w:eastAsia="仿宋_GB2312"/>
                <w:color w:val="auto"/>
                <w:sz w:val="28"/>
              </w:rPr>
            </w:pPr>
            <w:r>
              <w:rPr>
                <w:rFonts w:hint="eastAsia" w:ascii="仿宋_GB2312" w:hAnsi="仿宋" w:eastAsia="仿宋_GB2312" w:cs="仿宋_GB2312"/>
                <w:color w:val="auto"/>
                <w:sz w:val="28"/>
                <w:lang w:eastAsia="zh-CN"/>
              </w:rPr>
              <w:t>泉州职业技术大学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  <w:lang w:val="en-US" w:eastAsia="zh-CN"/>
              </w:rPr>
              <w:t>校长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</w:rPr>
              <w:t>办公室</w:t>
            </w:r>
          </w:p>
        </w:tc>
        <w:tc>
          <w:tcPr>
            <w:tcW w:w="4450" w:type="dxa"/>
            <w:tcBorders>
              <w:top w:val="single" w:color="auto" w:sz="4" w:space="0"/>
              <w:left w:val="nil"/>
              <w:bottom w:val="single" w:color="auto" w:sz="12" w:space="0"/>
              <w:right w:val="nil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100" w:afterAutospacing="0" w:line="590" w:lineRule="exact"/>
              <w:ind w:left="202" w:leftChars="100" w:right="202" w:rightChars="100" w:firstLine="0" w:firstLineChars="0"/>
              <w:jc w:val="right"/>
              <w:textAlignment w:val="bottom"/>
              <w:rPr>
                <w:rFonts w:ascii="仿宋_GB2312" w:eastAsia="仿宋_GB2312"/>
                <w:color w:val="auto"/>
              </w:rPr>
            </w:pPr>
            <w:r>
              <w:rPr>
                <w:rFonts w:hint="eastAsia" w:ascii="仿宋_GB2312" w:hAnsi="仿宋" w:eastAsia="仿宋_GB2312" w:cs="仿宋_GB2312"/>
                <w:color w:val="auto"/>
                <w:sz w:val="28"/>
              </w:rPr>
              <w:t>20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  <w:lang w:val="en-US" w:eastAsia="zh-CN"/>
              </w:rPr>
              <w:t>22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</w:rPr>
              <w:t>年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  <w:lang w:val="en-US" w:eastAsia="zh-CN"/>
              </w:rPr>
              <w:t>10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</w:rPr>
              <w:t>月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  <w:lang w:val="en-US" w:eastAsia="zh-CN"/>
              </w:rPr>
              <w:t>12</w:t>
            </w:r>
            <w:r>
              <w:rPr>
                <w:rFonts w:hint="eastAsia" w:ascii="仿宋_GB2312" w:hAnsi="仿宋" w:eastAsia="仿宋_GB2312" w:cs="仿宋_GB2312"/>
                <w:color w:val="auto"/>
                <w:sz w:val="28"/>
              </w:rPr>
              <w:t>日印发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outlineLvl w:val="9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bookmarkStart w:id="2" w:name="_GoBack"/>
      <w:bookmarkEnd w:id="2"/>
    </w:p>
    <w:sectPr>
      <w:footerReference r:id="rId3" w:type="default"/>
      <w:pgSz w:w="11906" w:h="16838"/>
      <w:pgMar w:top="2098" w:right="1474" w:bottom="1984" w:left="1587" w:header="851" w:footer="992" w:gutter="0"/>
      <w:pgNumType w:fmt="numberInDash"/>
      <w:cols w:space="0" w:num="1"/>
      <w:rtlGutter w:val="0"/>
      <w:docGrid w:type="linesAndChars" w:linePitch="319" w:charSpace="-183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7C6BC49D-977E-4B1C-911B-575B8BFB415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77812E07-8B58-4EA5-A754-2D8A79D31CB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824B820E-F93A-4AF3-B1F9-ED6EF0C382B1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9DC2FA4D-E520-48B8-86E9-23861523B71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7A37FFD0-59BF-43F7-A820-448A0CA5315C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9787550F-01E8-41DA-B3D9-552A1170AF65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7" w:fontKey="{8D4F19AA-DAFD-464A-9E2A-200F6076D1B7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8" w:fontKey="{5CFF7B93-99EB-4A23-9F82-ED6E70AFE20B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C7D01DD0-DAC2-403B-B6EE-6701D2A2066B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853B005A-7E84-4B17-A6FF-7F451EA7B6D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WLh2QyAgAAY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9YuHZ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attachedTemplate r:id="rId1"/>
  <w:documentProtection w:enforcement="0"/>
  <w:defaultTabStop w:val="420"/>
  <w:drawingGridHorizontalSpacing w:val="101"/>
  <w:drawingGridVerticalSpacing w:val="289"/>
  <w:displayHorizontalDrawingGridEvery w:val="2"/>
  <w:displayVerticalDrawingGridEvery w:val="2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WE3OTc4NGU0MTYyY2JmZGZhZDFjYWIzOTUwN2Y1MGIifQ=="/>
  </w:docVars>
  <w:rsids>
    <w:rsidRoot w:val="4D621F82"/>
    <w:rsid w:val="006724FE"/>
    <w:rsid w:val="018B2E96"/>
    <w:rsid w:val="01E6253D"/>
    <w:rsid w:val="020528F7"/>
    <w:rsid w:val="031B3475"/>
    <w:rsid w:val="03CD71EC"/>
    <w:rsid w:val="03E72A2A"/>
    <w:rsid w:val="03E9521F"/>
    <w:rsid w:val="041156DB"/>
    <w:rsid w:val="04706335"/>
    <w:rsid w:val="049E1806"/>
    <w:rsid w:val="05AC7EE6"/>
    <w:rsid w:val="05C635EA"/>
    <w:rsid w:val="074249AC"/>
    <w:rsid w:val="080F2686"/>
    <w:rsid w:val="089450E9"/>
    <w:rsid w:val="08D508F5"/>
    <w:rsid w:val="0A387D8D"/>
    <w:rsid w:val="0AB57773"/>
    <w:rsid w:val="0C192DF8"/>
    <w:rsid w:val="0D6571CD"/>
    <w:rsid w:val="0D77100C"/>
    <w:rsid w:val="0D8A0BE7"/>
    <w:rsid w:val="0E111C68"/>
    <w:rsid w:val="0E6F468A"/>
    <w:rsid w:val="0E9A123B"/>
    <w:rsid w:val="0EC73BA8"/>
    <w:rsid w:val="0F0177EC"/>
    <w:rsid w:val="0FD85E83"/>
    <w:rsid w:val="10990BE9"/>
    <w:rsid w:val="10AB1DDC"/>
    <w:rsid w:val="112B1916"/>
    <w:rsid w:val="11724945"/>
    <w:rsid w:val="11767384"/>
    <w:rsid w:val="11D76F92"/>
    <w:rsid w:val="122F78B0"/>
    <w:rsid w:val="12391CF9"/>
    <w:rsid w:val="126249BE"/>
    <w:rsid w:val="12A70E27"/>
    <w:rsid w:val="1369017B"/>
    <w:rsid w:val="141211F5"/>
    <w:rsid w:val="1453680A"/>
    <w:rsid w:val="14E15345"/>
    <w:rsid w:val="14F3601A"/>
    <w:rsid w:val="14F603CA"/>
    <w:rsid w:val="153679CB"/>
    <w:rsid w:val="15580984"/>
    <w:rsid w:val="15B3786A"/>
    <w:rsid w:val="15C95DA2"/>
    <w:rsid w:val="15D468A6"/>
    <w:rsid w:val="15E270C8"/>
    <w:rsid w:val="161351D1"/>
    <w:rsid w:val="16834711"/>
    <w:rsid w:val="16D11146"/>
    <w:rsid w:val="16DE58F5"/>
    <w:rsid w:val="174230FD"/>
    <w:rsid w:val="17C55D1F"/>
    <w:rsid w:val="18506DD1"/>
    <w:rsid w:val="185537F3"/>
    <w:rsid w:val="18C4527C"/>
    <w:rsid w:val="199E3826"/>
    <w:rsid w:val="1A066319"/>
    <w:rsid w:val="1A0A1E78"/>
    <w:rsid w:val="1A0B1CCC"/>
    <w:rsid w:val="1A8232E5"/>
    <w:rsid w:val="1AB314F7"/>
    <w:rsid w:val="1B9E775E"/>
    <w:rsid w:val="1BAA28C5"/>
    <w:rsid w:val="1BFC0A60"/>
    <w:rsid w:val="1C771AE1"/>
    <w:rsid w:val="1CA0142F"/>
    <w:rsid w:val="1D0B090B"/>
    <w:rsid w:val="1D32411B"/>
    <w:rsid w:val="1D395BFE"/>
    <w:rsid w:val="1D4A5169"/>
    <w:rsid w:val="1D6C5635"/>
    <w:rsid w:val="1DD16EE2"/>
    <w:rsid w:val="1DF07F1E"/>
    <w:rsid w:val="1ED46FC7"/>
    <w:rsid w:val="1F545B45"/>
    <w:rsid w:val="1F8B3F9F"/>
    <w:rsid w:val="1FF974B8"/>
    <w:rsid w:val="202A622C"/>
    <w:rsid w:val="208E3D98"/>
    <w:rsid w:val="20A43C56"/>
    <w:rsid w:val="21DC60A4"/>
    <w:rsid w:val="223165A3"/>
    <w:rsid w:val="229C0A47"/>
    <w:rsid w:val="23380E4B"/>
    <w:rsid w:val="235F4635"/>
    <w:rsid w:val="247D4C15"/>
    <w:rsid w:val="2489483C"/>
    <w:rsid w:val="24C83E25"/>
    <w:rsid w:val="25356F4C"/>
    <w:rsid w:val="254215A7"/>
    <w:rsid w:val="25930869"/>
    <w:rsid w:val="25C31D2F"/>
    <w:rsid w:val="26491300"/>
    <w:rsid w:val="265F7A2A"/>
    <w:rsid w:val="2682526D"/>
    <w:rsid w:val="27217F30"/>
    <w:rsid w:val="278A2A40"/>
    <w:rsid w:val="279B5BCC"/>
    <w:rsid w:val="280B4B77"/>
    <w:rsid w:val="28116119"/>
    <w:rsid w:val="285B5199"/>
    <w:rsid w:val="28DE0A83"/>
    <w:rsid w:val="28E8708A"/>
    <w:rsid w:val="28ED02AD"/>
    <w:rsid w:val="2A3F6887"/>
    <w:rsid w:val="2A626037"/>
    <w:rsid w:val="2A6E29ED"/>
    <w:rsid w:val="2A8F75C4"/>
    <w:rsid w:val="2AC15552"/>
    <w:rsid w:val="2BF33091"/>
    <w:rsid w:val="2C126B1F"/>
    <w:rsid w:val="2C512086"/>
    <w:rsid w:val="2C5758D0"/>
    <w:rsid w:val="2C633987"/>
    <w:rsid w:val="2D1F4818"/>
    <w:rsid w:val="2D446836"/>
    <w:rsid w:val="2D466FE1"/>
    <w:rsid w:val="2D9D13A7"/>
    <w:rsid w:val="2DE1331C"/>
    <w:rsid w:val="2DE37E69"/>
    <w:rsid w:val="2DFD5052"/>
    <w:rsid w:val="2E0F418C"/>
    <w:rsid w:val="2E127CCD"/>
    <w:rsid w:val="2EE33AFA"/>
    <w:rsid w:val="2F4F58DB"/>
    <w:rsid w:val="2FA24DC4"/>
    <w:rsid w:val="2FEA0AF3"/>
    <w:rsid w:val="30BC7F54"/>
    <w:rsid w:val="313B271E"/>
    <w:rsid w:val="31617057"/>
    <w:rsid w:val="317D4FE5"/>
    <w:rsid w:val="319F1D65"/>
    <w:rsid w:val="31EE5A64"/>
    <w:rsid w:val="32541303"/>
    <w:rsid w:val="32617098"/>
    <w:rsid w:val="32D33034"/>
    <w:rsid w:val="32E7711C"/>
    <w:rsid w:val="32FE17ED"/>
    <w:rsid w:val="330E1378"/>
    <w:rsid w:val="33575BF5"/>
    <w:rsid w:val="335E6E4B"/>
    <w:rsid w:val="33FF487C"/>
    <w:rsid w:val="343E76C5"/>
    <w:rsid w:val="345D640F"/>
    <w:rsid w:val="34A4005A"/>
    <w:rsid w:val="34A51A73"/>
    <w:rsid w:val="35054D83"/>
    <w:rsid w:val="350D50F2"/>
    <w:rsid w:val="35517165"/>
    <w:rsid w:val="35BD1B7B"/>
    <w:rsid w:val="3627614E"/>
    <w:rsid w:val="367A268C"/>
    <w:rsid w:val="36972189"/>
    <w:rsid w:val="36FE17E3"/>
    <w:rsid w:val="375B3309"/>
    <w:rsid w:val="37856B65"/>
    <w:rsid w:val="37DB388A"/>
    <w:rsid w:val="384B407F"/>
    <w:rsid w:val="3868639E"/>
    <w:rsid w:val="39624308"/>
    <w:rsid w:val="397D20F3"/>
    <w:rsid w:val="398E5163"/>
    <w:rsid w:val="39F51C9C"/>
    <w:rsid w:val="3A4D11A4"/>
    <w:rsid w:val="3A512CDA"/>
    <w:rsid w:val="3A7F5A2D"/>
    <w:rsid w:val="3ACB682C"/>
    <w:rsid w:val="3B283E86"/>
    <w:rsid w:val="3B790E69"/>
    <w:rsid w:val="3C0C106A"/>
    <w:rsid w:val="3C95284C"/>
    <w:rsid w:val="3CE43F88"/>
    <w:rsid w:val="3D1E1233"/>
    <w:rsid w:val="3D28095E"/>
    <w:rsid w:val="3D9069DF"/>
    <w:rsid w:val="3DE15D32"/>
    <w:rsid w:val="3E2164D3"/>
    <w:rsid w:val="3EDF7650"/>
    <w:rsid w:val="3F592682"/>
    <w:rsid w:val="3FB265AC"/>
    <w:rsid w:val="403C5E4C"/>
    <w:rsid w:val="40AD2BD1"/>
    <w:rsid w:val="40DF3F2D"/>
    <w:rsid w:val="411F0144"/>
    <w:rsid w:val="414D360D"/>
    <w:rsid w:val="41571720"/>
    <w:rsid w:val="419B14B3"/>
    <w:rsid w:val="41B00D49"/>
    <w:rsid w:val="41BC2935"/>
    <w:rsid w:val="437B30D9"/>
    <w:rsid w:val="438D7C81"/>
    <w:rsid w:val="43D51D4D"/>
    <w:rsid w:val="43E834D8"/>
    <w:rsid w:val="44201861"/>
    <w:rsid w:val="44263D4E"/>
    <w:rsid w:val="44516DC3"/>
    <w:rsid w:val="44DB3F86"/>
    <w:rsid w:val="458F50A0"/>
    <w:rsid w:val="459246A5"/>
    <w:rsid w:val="45A04E45"/>
    <w:rsid w:val="45EC2FEF"/>
    <w:rsid w:val="463F51AD"/>
    <w:rsid w:val="465F64F1"/>
    <w:rsid w:val="47040E4A"/>
    <w:rsid w:val="47872199"/>
    <w:rsid w:val="48516674"/>
    <w:rsid w:val="48615EAD"/>
    <w:rsid w:val="48CA1969"/>
    <w:rsid w:val="493C3DA7"/>
    <w:rsid w:val="495E7B2E"/>
    <w:rsid w:val="499469C0"/>
    <w:rsid w:val="4A0854EE"/>
    <w:rsid w:val="4A0B0F89"/>
    <w:rsid w:val="4A143FF7"/>
    <w:rsid w:val="4A6A2071"/>
    <w:rsid w:val="4A6B7A9A"/>
    <w:rsid w:val="4AC01A3A"/>
    <w:rsid w:val="4B127394"/>
    <w:rsid w:val="4B5C128C"/>
    <w:rsid w:val="4C130AFA"/>
    <w:rsid w:val="4C310122"/>
    <w:rsid w:val="4C8D4B20"/>
    <w:rsid w:val="4C9220A7"/>
    <w:rsid w:val="4C9631D1"/>
    <w:rsid w:val="4CA6717A"/>
    <w:rsid w:val="4CB117A3"/>
    <w:rsid w:val="4CCD592C"/>
    <w:rsid w:val="4D493BE1"/>
    <w:rsid w:val="4D621F82"/>
    <w:rsid w:val="4DAB7512"/>
    <w:rsid w:val="4E3E74C2"/>
    <w:rsid w:val="4E450DC6"/>
    <w:rsid w:val="4EAA5765"/>
    <w:rsid w:val="4F7932C8"/>
    <w:rsid w:val="4FB051A7"/>
    <w:rsid w:val="502C2818"/>
    <w:rsid w:val="50910EFB"/>
    <w:rsid w:val="50EC3F78"/>
    <w:rsid w:val="51747C68"/>
    <w:rsid w:val="521477CA"/>
    <w:rsid w:val="52387A8A"/>
    <w:rsid w:val="523E3B54"/>
    <w:rsid w:val="528660A0"/>
    <w:rsid w:val="531A5440"/>
    <w:rsid w:val="53D913B8"/>
    <w:rsid w:val="53E8286C"/>
    <w:rsid w:val="53F00677"/>
    <w:rsid w:val="54E76892"/>
    <w:rsid w:val="550D6C31"/>
    <w:rsid w:val="559612BE"/>
    <w:rsid w:val="55A1705C"/>
    <w:rsid w:val="55C03035"/>
    <w:rsid w:val="560F0FE5"/>
    <w:rsid w:val="56556959"/>
    <w:rsid w:val="56AE0202"/>
    <w:rsid w:val="56D86E40"/>
    <w:rsid w:val="56F850E5"/>
    <w:rsid w:val="576669CB"/>
    <w:rsid w:val="57EA1A71"/>
    <w:rsid w:val="584F05FA"/>
    <w:rsid w:val="58615313"/>
    <w:rsid w:val="58630A04"/>
    <w:rsid w:val="586716E6"/>
    <w:rsid w:val="590F2EDF"/>
    <w:rsid w:val="59374F3C"/>
    <w:rsid w:val="59674B9C"/>
    <w:rsid w:val="596F1026"/>
    <w:rsid w:val="59A804BE"/>
    <w:rsid w:val="5AF5733C"/>
    <w:rsid w:val="5BA638BA"/>
    <w:rsid w:val="5BD24FA5"/>
    <w:rsid w:val="5C157110"/>
    <w:rsid w:val="5C2437E7"/>
    <w:rsid w:val="5D0F0B89"/>
    <w:rsid w:val="5D6B26E9"/>
    <w:rsid w:val="5D941221"/>
    <w:rsid w:val="5DC130E2"/>
    <w:rsid w:val="5DED280A"/>
    <w:rsid w:val="5DF94934"/>
    <w:rsid w:val="5E4E2E8A"/>
    <w:rsid w:val="5E7B4603"/>
    <w:rsid w:val="5EC7045F"/>
    <w:rsid w:val="5F241500"/>
    <w:rsid w:val="5F426048"/>
    <w:rsid w:val="5F4D7FB7"/>
    <w:rsid w:val="5F723F16"/>
    <w:rsid w:val="5F9F743B"/>
    <w:rsid w:val="5FD72A79"/>
    <w:rsid w:val="5FEF530C"/>
    <w:rsid w:val="60AD6829"/>
    <w:rsid w:val="610C48B8"/>
    <w:rsid w:val="618C495E"/>
    <w:rsid w:val="61DB7E59"/>
    <w:rsid w:val="624B46F8"/>
    <w:rsid w:val="626E7B62"/>
    <w:rsid w:val="627747A9"/>
    <w:rsid w:val="629D0074"/>
    <w:rsid w:val="62E45E99"/>
    <w:rsid w:val="63314F7B"/>
    <w:rsid w:val="6340012A"/>
    <w:rsid w:val="637732A5"/>
    <w:rsid w:val="63E176CD"/>
    <w:rsid w:val="6416359C"/>
    <w:rsid w:val="642300D5"/>
    <w:rsid w:val="64250565"/>
    <w:rsid w:val="644D4CCA"/>
    <w:rsid w:val="645726B9"/>
    <w:rsid w:val="64637CFD"/>
    <w:rsid w:val="64B87B9E"/>
    <w:rsid w:val="64FC5E91"/>
    <w:rsid w:val="65B35461"/>
    <w:rsid w:val="65B51DD7"/>
    <w:rsid w:val="65DD0B63"/>
    <w:rsid w:val="663B31A2"/>
    <w:rsid w:val="67A26E85"/>
    <w:rsid w:val="67C867BD"/>
    <w:rsid w:val="68CC2261"/>
    <w:rsid w:val="69194D44"/>
    <w:rsid w:val="693E652C"/>
    <w:rsid w:val="694F7EF5"/>
    <w:rsid w:val="695F370B"/>
    <w:rsid w:val="69613178"/>
    <w:rsid w:val="6B4B57F8"/>
    <w:rsid w:val="6B58716C"/>
    <w:rsid w:val="6C0C4BEA"/>
    <w:rsid w:val="6C653E06"/>
    <w:rsid w:val="6D535020"/>
    <w:rsid w:val="6DFB3CEE"/>
    <w:rsid w:val="6E1C0F69"/>
    <w:rsid w:val="6E467257"/>
    <w:rsid w:val="6EC809EE"/>
    <w:rsid w:val="6ECC76A7"/>
    <w:rsid w:val="6EE92E2F"/>
    <w:rsid w:val="6F3A5B43"/>
    <w:rsid w:val="6F74231D"/>
    <w:rsid w:val="6F75179E"/>
    <w:rsid w:val="70005517"/>
    <w:rsid w:val="701D79A6"/>
    <w:rsid w:val="703B21AB"/>
    <w:rsid w:val="70622634"/>
    <w:rsid w:val="707359D6"/>
    <w:rsid w:val="707C0EDE"/>
    <w:rsid w:val="712523F6"/>
    <w:rsid w:val="71544101"/>
    <w:rsid w:val="719E407C"/>
    <w:rsid w:val="71EF65CA"/>
    <w:rsid w:val="71F63E91"/>
    <w:rsid w:val="722D4E83"/>
    <w:rsid w:val="732D33CF"/>
    <w:rsid w:val="73337C3C"/>
    <w:rsid w:val="738821DB"/>
    <w:rsid w:val="73E462A2"/>
    <w:rsid w:val="74BE3D51"/>
    <w:rsid w:val="751E09E5"/>
    <w:rsid w:val="756245C6"/>
    <w:rsid w:val="75B9600D"/>
    <w:rsid w:val="75CE6DEF"/>
    <w:rsid w:val="76350F1C"/>
    <w:rsid w:val="769762F8"/>
    <w:rsid w:val="769A62E6"/>
    <w:rsid w:val="77A771B2"/>
    <w:rsid w:val="780E6DF6"/>
    <w:rsid w:val="78344F90"/>
    <w:rsid w:val="793763E3"/>
    <w:rsid w:val="7B630864"/>
    <w:rsid w:val="7B860C13"/>
    <w:rsid w:val="7BCC2B7B"/>
    <w:rsid w:val="7BD34E18"/>
    <w:rsid w:val="7BE07E03"/>
    <w:rsid w:val="7BF05AEE"/>
    <w:rsid w:val="7C4D012E"/>
    <w:rsid w:val="7C682F74"/>
    <w:rsid w:val="7CAA41AE"/>
    <w:rsid w:val="7CD57298"/>
    <w:rsid w:val="7D162858"/>
    <w:rsid w:val="7D6D7ACF"/>
    <w:rsid w:val="7D91080E"/>
    <w:rsid w:val="7EB36C5B"/>
    <w:rsid w:val="7EC0453B"/>
    <w:rsid w:val="7ED40F52"/>
    <w:rsid w:val="7F2064CA"/>
    <w:rsid w:val="7F797A23"/>
    <w:rsid w:val="7F97517D"/>
    <w:rsid w:val="7FE153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qFormat/>
    <w:uiPriority w:val="0"/>
    <w:pPr>
      <w:jc w:val="left"/>
    </w:p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page number"/>
    <w:basedOn w:val="8"/>
    <w:qFormat/>
    <w:uiPriority w:val="0"/>
  </w:style>
  <w:style w:type="paragraph" w:customStyle="1" w:styleId="10">
    <w:name w:val="Acetate"/>
    <w:basedOn w:val="1"/>
    <w:semiHidden/>
    <w:qFormat/>
    <w:uiPriority w:val="0"/>
    <w:pPr>
      <w:textAlignment w:val="baseline"/>
    </w:pPr>
    <w:rPr>
      <w:rFonts w:ascii="Calibri" w:hAnsi="Calibri" w:eastAsia="宋体"/>
      <w:sz w:val="18"/>
      <w:szCs w:val="18"/>
    </w:rPr>
  </w:style>
  <w:style w:type="character" w:customStyle="1" w:styleId="11">
    <w:name w:val="font21"/>
    <w:basedOn w:val="8"/>
    <w:qFormat/>
    <w:uiPriority w:val="0"/>
    <w:rPr>
      <w:rFonts w:hint="eastAsia" w:ascii="仿宋_GB2312" w:eastAsia="仿宋_GB2312" w:cs="仿宋_GB2312"/>
      <w:color w:val="000000"/>
      <w:sz w:val="22"/>
      <w:szCs w:val="22"/>
      <w:u w:val="none"/>
    </w:rPr>
  </w:style>
  <w:style w:type="character" w:customStyle="1" w:styleId="12">
    <w:name w:val="font41"/>
    <w:basedOn w:val="8"/>
    <w:qFormat/>
    <w:uiPriority w:val="0"/>
    <w:rPr>
      <w:rFonts w:hint="eastAsia" w:ascii="仿宋_GB2312" w:eastAsia="仿宋_GB2312" w:cs="仿宋_GB2312"/>
      <w:color w:val="000000"/>
      <w:sz w:val="24"/>
      <w:szCs w:val="24"/>
      <w:u w:val="none"/>
    </w:rPr>
  </w:style>
  <w:style w:type="character" w:customStyle="1" w:styleId="13">
    <w:name w:val="font31"/>
    <w:basedOn w:val="8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uby_1.0.0.11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12</Pages>
  <Words>5688</Words>
  <Characters>5793</Characters>
  <Lines>0</Lines>
  <Paragraphs>0</Paragraphs>
  <TotalTime>5</TotalTime>
  <ScaleCrop>false</ScaleCrop>
  <LinksUpToDate>false</LinksUpToDate>
  <CharactersWithSpaces>5969</CharactersWithSpaces>
  <Application>WPS Office_11.1.0.12358_F1E327BC-269C-435d-A152-05C5408002CA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2018-08-21T01:45:00Z</dcterms:created>
  <dc:creator>青花</dc:creator>
  <cp:lastModifiedBy>陈春英</cp:lastModifiedBy>
  <cp:lastPrinted>2021-04-20T09:34:00Z</cp:lastPrinted>
  <dcterms:modified xsi:type="dcterms:W3CDTF">2022-10-14T01:15:35Z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2052-11.1.0.12358</vt:lpwstr>
  </property>
  <property fmtid="{D5CDD505-2E9C-101B-9397-08002B2CF9AE}" pid="3" name="ICV">
    <vt:lpwstr>4DD2D12455CF48EC8E28E5BD4DDC674D</vt:lpwstr>
  </property>
  <property fmtid="{D5CDD505-2E9C-101B-9397-08002B2CF9AE}" pid="4" name="KSOSaveFontToCloudKey">
    <vt:lpwstr>754137428_embed</vt:lpwstr>
  </property>
</Properties>
</file>