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804" w:type="dxa"/>
        <w:jc w:val="center"/>
        <w:tblLayout w:type="fixed"/>
        <w:tblCellMar>
          <w:top w:w="15" w:type="dxa"/>
          <w:left w:w="15" w:type="dxa"/>
          <w:bottom w:w="15" w:type="dxa"/>
          <w:right w:w="15" w:type="dxa"/>
        </w:tblCellMar>
      </w:tblPr>
      <w:tblGrid>
        <w:gridCol w:w="6680"/>
        <w:gridCol w:w="900"/>
        <w:gridCol w:w="1665"/>
        <w:gridCol w:w="559"/>
      </w:tblGrid>
      <w:tr>
        <w:tblPrEx>
          <w:tblCellMar>
            <w:top w:w="15" w:type="dxa"/>
            <w:left w:w="15" w:type="dxa"/>
            <w:bottom w:w="15" w:type="dxa"/>
            <w:right w:w="15" w:type="dxa"/>
          </w:tblCellMar>
        </w:tblPrEx>
        <w:trPr>
          <w:trHeight w:val="2048" w:hRule="atLeast"/>
          <w:jc w:val="center"/>
        </w:trPr>
        <w:tc>
          <w:tcPr>
            <w:tcW w:w="6680" w:type="dxa"/>
            <w:tcBorders>
              <w:bottom w:val="nil"/>
              <w:tl2br w:val="nil"/>
              <w:tr2bl w:val="nil"/>
            </w:tcBorders>
            <w:shd w:val="clear" w:color="auto" w:fill="auto"/>
            <w:vAlign w:val="center"/>
          </w:tcPr>
          <w:p>
            <w:pPr>
              <w:widowControl/>
              <w:jc w:val="center"/>
              <w:textAlignment w:val="center"/>
              <w:rPr>
                <w:rFonts w:ascii="Times New Roman" w:hAnsi="Times New Roman" w:eastAsia="方正小标宋简体" w:cs="Times New Roman"/>
                <w:color w:val="FF0000"/>
                <w:sz w:val="72"/>
                <w:szCs w:val="72"/>
                <w:u w:val="none"/>
              </w:rPr>
            </w:pPr>
            <w:r>
              <w:rPr>
                <w:rFonts w:hint="eastAsia" w:asciiTheme="minorEastAsia" w:hAnsiTheme="minorEastAsia" w:cstheme="minorEastAsia"/>
                <w:color w:val="FF0000"/>
                <w:w w:val="66"/>
                <w:sz w:val="120"/>
                <w:szCs w:val="120"/>
                <w:u w:val="none"/>
              </w:rPr>
              <w:t>泉州职业技术大学</w:t>
            </w:r>
          </w:p>
        </w:tc>
        <w:tc>
          <w:tcPr>
            <w:tcW w:w="900" w:type="dxa"/>
            <w:tcBorders>
              <w:bottom w:val="nil"/>
              <w:tl2br w:val="nil"/>
              <w:tr2bl w:val="nil"/>
            </w:tcBorders>
            <w:shd w:val="clear" w:color="auto" w:fill="auto"/>
            <w:vAlign w:val="center"/>
          </w:tcPr>
          <w:p>
            <w:pPr>
              <w:widowControl/>
              <w:jc w:val="left"/>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c>
          <w:tcPr>
            <w:tcW w:w="1665" w:type="dxa"/>
            <w:tcBorders>
              <w:bottom w:val="nil"/>
              <w:tl2br w:val="nil"/>
              <w:tr2bl w:val="nil"/>
            </w:tcBorders>
            <w:shd w:val="clear" w:color="auto" w:fill="auto"/>
            <w:vAlign w:val="center"/>
          </w:tcPr>
          <w:p>
            <w:pPr>
              <w:widowControl/>
              <w:spacing w:line="400" w:lineRule="exact"/>
              <w:jc w:val="center"/>
              <w:textAlignment w:val="bottom"/>
              <w:rPr>
                <w:rFonts w:ascii="Times New Roman" w:hAnsi="Times New Roman" w:eastAsia="新宋体" w:cs="Times New Roman"/>
                <w:color w:val="000000"/>
                <w:kern w:val="0"/>
                <w:sz w:val="32"/>
                <w:szCs w:val="32"/>
                <w:u w:val="none"/>
                <w:lang w:bidi="ar"/>
              </w:rPr>
            </w:pPr>
            <w:r>
              <w:rPr>
                <w:rFonts w:hint="eastAsia" w:ascii="Times New Roman" w:hAnsi="Times New Roman" w:eastAsia="新宋体" w:cs="Times New Roman"/>
                <w:color w:val="000000"/>
                <w:kern w:val="0"/>
                <w:sz w:val="32"/>
                <w:szCs w:val="32"/>
                <w:u w:val="none"/>
                <w:lang w:bidi="ar"/>
              </w:rPr>
              <w:t>科研处</w:t>
            </w:r>
          </w:p>
          <w:p>
            <w:pPr>
              <w:widowControl/>
              <w:spacing w:line="400" w:lineRule="exact"/>
              <w:jc w:val="center"/>
              <w:textAlignment w:val="top"/>
              <w:rPr>
                <w:rFonts w:ascii="Times New Roman" w:hAnsi="Times New Roman" w:eastAsia="新宋体" w:cs="Times New Roman"/>
                <w:color w:val="000000"/>
                <w:sz w:val="32"/>
                <w:szCs w:val="32"/>
                <w:u w:val="none"/>
              </w:rPr>
            </w:pPr>
            <w:r>
              <w:rPr>
                <w:rFonts w:ascii="Times New Roman" w:hAnsi="Times New Roman" w:eastAsia="新宋体" w:cs="Times New Roman"/>
                <w:color w:val="000000"/>
                <w:kern w:val="0"/>
                <w:sz w:val="32"/>
                <w:szCs w:val="32"/>
                <w:u w:val="none"/>
                <w:lang w:bidi="ar"/>
              </w:rPr>
              <w:t>通</w:t>
            </w:r>
            <w:r>
              <w:rPr>
                <w:rFonts w:hint="eastAsia" w:ascii="Times New Roman" w:hAnsi="Times New Roman" w:eastAsia="新宋体" w:cs="Times New Roman"/>
                <w:color w:val="000000"/>
                <w:kern w:val="0"/>
                <w:sz w:val="32"/>
                <w:szCs w:val="32"/>
                <w:u w:val="none"/>
                <w:lang w:bidi="ar"/>
              </w:rPr>
              <w:t xml:space="preserve">  </w:t>
            </w:r>
            <w:r>
              <w:rPr>
                <w:rFonts w:ascii="Times New Roman" w:hAnsi="Times New Roman" w:eastAsia="新宋体" w:cs="Times New Roman"/>
                <w:color w:val="000000"/>
                <w:kern w:val="0"/>
                <w:sz w:val="32"/>
                <w:szCs w:val="32"/>
                <w:u w:val="none"/>
                <w:lang w:bidi="ar"/>
              </w:rPr>
              <w:t>知</w:t>
            </w:r>
          </w:p>
        </w:tc>
        <w:tc>
          <w:tcPr>
            <w:tcW w:w="559" w:type="dxa"/>
            <w:tcBorders>
              <w:bottom w:val="nil"/>
              <w:tl2br w:val="nil"/>
              <w:tr2bl w:val="nil"/>
            </w:tcBorders>
            <w:shd w:val="clear" w:color="auto" w:fill="auto"/>
            <w:vAlign w:val="center"/>
          </w:tcPr>
          <w:p>
            <w:pPr>
              <w:widowControl/>
              <w:jc w:val="center"/>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r>
      <w:tr>
        <w:tblPrEx>
          <w:tblCellMar>
            <w:top w:w="15" w:type="dxa"/>
            <w:left w:w="15" w:type="dxa"/>
            <w:bottom w:w="15" w:type="dxa"/>
            <w:right w:w="15" w:type="dxa"/>
          </w:tblCellMar>
        </w:tblPrEx>
        <w:trPr>
          <w:trHeight w:val="850" w:hRule="atLeast"/>
          <w:jc w:val="center"/>
        </w:trPr>
        <w:tc>
          <w:tcPr>
            <w:tcW w:w="9804" w:type="dxa"/>
            <w:gridSpan w:val="4"/>
            <w:tcBorders>
              <w:top w:val="nil"/>
              <w:left w:val="nil"/>
              <w:bottom w:val="nil"/>
              <w:right w:val="nil"/>
              <w:tl2br w:val="nil"/>
              <w:tr2bl w:val="nil"/>
            </w:tcBorders>
            <w:shd w:val="clear" w:color="auto" w:fill="auto"/>
            <w:vAlign w:val="center"/>
          </w:tcPr>
          <w:p>
            <w:pPr>
              <w:widowControl/>
              <w:jc w:val="center"/>
              <w:textAlignment w:val="center"/>
              <w:rPr>
                <w:rFonts w:ascii="Times New Roman" w:hAnsi="Times New Roman" w:eastAsia="宋体" w:cs="Times New Roman"/>
                <w:color w:val="000000"/>
                <w:sz w:val="22"/>
                <w:szCs w:val="22"/>
                <w:u w:val="none"/>
              </w:rPr>
            </w:pPr>
            <w:r>
              <w:rPr>
                <w:rFonts w:hint="eastAsia" w:ascii="仿宋" w:hAnsi="仿宋" w:eastAsia="仿宋" w:cs="仿宋"/>
                <w:b w:val="0"/>
                <w:bCs/>
                <w:color w:val="000000"/>
                <w:kern w:val="0"/>
                <w:sz w:val="32"/>
                <w:szCs w:val="32"/>
                <w:u w:val="none"/>
                <w:lang w:bidi="ar"/>
              </w:rPr>
              <w:t>(2019)科</w:t>
            </w:r>
            <w:r>
              <w:rPr>
                <w:rFonts w:hint="eastAsia" w:ascii="仿宋" w:hAnsi="仿宋" w:eastAsia="仿宋" w:cs="仿宋"/>
                <w:b w:val="0"/>
                <w:bCs/>
                <w:color w:val="000000"/>
                <w:kern w:val="0"/>
                <w:sz w:val="32"/>
                <w:szCs w:val="32"/>
                <w:u w:val="none"/>
                <w:lang w:val="en-US" w:eastAsia="zh-CN" w:bidi="ar"/>
              </w:rPr>
              <w:t>48</w:t>
            </w:r>
            <w:r>
              <w:rPr>
                <w:rFonts w:hint="eastAsia" w:ascii="仿宋" w:hAnsi="仿宋" w:eastAsia="仿宋" w:cs="仿宋"/>
                <w:b w:val="0"/>
                <w:bCs/>
                <w:color w:val="000000"/>
                <w:kern w:val="0"/>
                <w:sz w:val="32"/>
                <w:szCs w:val="32"/>
                <w:u w:val="none"/>
                <w:lang w:bidi="ar"/>
              </w:rPr>
              <w:t>号</w:t>
            </w:r>
          </w:p>
        </w:tc>
      </w:tr>
    </w:tbl>
    <w:p>
      <w:pPr>
        <w:pStyle w:val="2"/>
        <w:widowControl/>
        <w:shd w:val="clear" w:color="auto" w:fill="FFFFFF"/>
        <w:spacing w:before="468" w:beforeLines="150" w:beforeAutospacing="0" w:afterAutospacing="0" w:line="560" w:lineRule="exact"/>
        <w:jc w:val="center"/>
        <w:rPr>
          <w:rFonts w:hint="eastAsia" w:ascii="方正小标宋简体" w:eastAsia="方正小标宋简体"/>
          <w:b w:val="0"/>
          <w:kern w:val="2"/>
          <w:sz w:val="44"/>
          <w:szCs w:val="44"/>
          <w:u w:val="none"/>
          <w:lang w:eastAsia="zh-CN"/>
        </w:rPr>
      </w:pPr>
      <w:r>
        <w:rPr>
          <w:rFonts w:ascii="方正小标宋简体" w:eastAsia="方正小标宋简体"/>
          <w:b w:val="0"/>
          <w:kern w:val="2"/>
          <w:sz w:val="44"/>
          <w:szCs w:val="44"/>
          <w:u w:val="non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ascii="方正小标宋简体" w:eastAsia="方正小标宋简体"/>
          <w:b w:val="0"/>
          <w:kern w:val="2"/>
          <w:sz w:val="44"/>
          <w:szCs w:val="44"/>
          <w:u w:val="none"/>
        </w:rPr>
        <w:t>关于</w:t>
      </w:r>
      <w:r>
        <w:rPr>
          <w:rFonts w:hint="eastAsia" w:ascii="方正小标宋简体" w:eastAsia="方正小标宋简体"/>
          <w:b w:val="0"/>
          <w:kern w:val="2"/>
          <w:sz w:val="44"/>
          <w:szCs w:val="44"/>
          <w:u w:val="none"/>
          <w:lang w:eastAsia="zh-CN"/>
        </w:rPr>
        <w:t>开展</w:t>
      </w:r>
      <w:r>
        <w:rPr>
          <w:rFonts w:hint="eastAsia" w:ascii="方正小标宋简体" w:eastAsia="方正小标宋简体"/>
          <w:b w:val="0"/>
          <w:kern w:val="2"/>
          <w:sz w:val="44"/>
          <w:szCs w:val="44"/>
          <w:u w:val="none"/>
          <w:lang w:val="en-US" w:eastAsia="zh-CN"/>
        </w:rPr>
        <w:t>2019年度</w:t>
      </w:r>
      <w:r>
        <w:rPr>
          <w:rFonts w:hint="eastAsia" w:ascii="方正小标宋简体" w:eastAsia="方正小标宋简体"/>
          <w:b w:val="0"/>
          <w:kern w:val="2"/>
          <w:sz w:val="44"/>
          <w:szCs w:val="44"/>
          <w:u w:val="none"/>
          <w:lang w:eastAsia="zh-CN"/>
        </w:rPr>
        <w:t>福建省中青年教师教育科研项目（科技类）预报名预审工作的通知</w:t>
      </w:r>
    </w:p>
    <w:p>
      <w:pPr>
        <w:pStyle w:val="2"/>
        <w:widowControl/>
        <w:shd w:val="clear" w:color="auto" w:fill="FFFFFF"/>
        <w:spacing w:before="468" w:beforeLines="150" w:beforeAutospacing="0" w:afterAutospacing="0" w:line="560" w:lineRule="exact"/>
        <w:rPr>
          <w:rFonts w:hint="default" w:ascii="仿宋" w:hAnsi="仿宋" w:eastAsia="仿宋" w:cs="仿宋"/>
          <w:b w:val="0"/>
          <w:bCs/>
          <w:sz w:val="32"/>
          <w:szCs w:val="32"/>
          <w:u w:val="none"/>
        </w:rPr>
      </w:pPr>
      <w:r>
        <w:rPr>
          <w:rFonts w:ascii="仿宋" w:hAnsi="仿宋" w:eastAsia="仿宋" w:cs="仿宋"/>
          <w:b w:val="0"/>
          <w:bCs/>
          <w:sz w:val="32"/>
          <w:szCs w:val="32"/>
          <w:u w:val="none"/>
        </w:rPr>
        <w:t>学校各单位：</w:t>
      </w:r>
    </w:p>
    <w:p>
      <w:pPr>
        <w:spacing w:line="560" w:lineRule="exact"/>
        <w:ind w:firstLine="640" w:firstLineChars="200"/>
        <w:rPr>
          <w:rFonts w:ascii="仿宋" w:hAnsi="仿宋" w:eastAsia="仿宋" w:cs="仿宋"/>
          <w:b w:val="0"/>
          <w:bCs/>
          <w:sz w:val="32"/>
          <w:szCs w:val="32"/>
          <w:u w:val="none"/>
        </w:rPr>
      </w:pPr>
      <w:r>
        <w:rPr>
          <w:rFonts w:hint="eastAsia" w:ascii="仿宋" w:hAnsi="仿宋" w:eastAsia="仿宋" w:cs="仿宋"/>
          <w:b w:val="0"/>
          <w:bCs/>
          <w:sz w:val="32"/>
          <w:szCs w:val="32"/>
          <w:u w:val="none"/>
          <w:lang w:eastAsia="zh-CN"/>
        </w:rPr>
        <w:t>近日，福建省教育厅即将发布</w:t>
      </w:r>
      <w:r>
        <w:rPr>
          <w:rFonts w:hint="eastAsia" w:ascii="仿宋" w:hAnsi="仿宋" w:eastAsia="仿宋" w:cs="仿宋"/>
          <w:b w:val="0"/>
          <w:bCs/>
          <w:sz w:val="32"/>
          <w:szCs w:val="32"/>
          <w:u w:val="none"/>
          <w:lang w:val="en-US" w:eastAsia="zh-CN"/>
        </w:rPr>
        <w:t>2019年度</w:t>
      </w:r>
      <w:r>
        <w:rPr>
          <w:rFonts w:hint="eastAsia" w:ascii="仿宋" w:hAnsi="仿宋" w:eastAsia="仿宋" w:cs="仿宋"/>
          <w:b w:val="0"/>
          <w:bCs/>
          <w:sz w:val="32"/>
          <w:szCs w:val="32"/>
          <w:u w:val="none"/>
          <w:lang w:eastAsia="zh-CN"/>
        </w:rPr>
        <w:t>福建省中青年教师教育科研项目（科技类）的申报通知，目前文件正在审批流程中。为协助各位教师做好该课题的申报工作，现</w:t>
      </w:r>
      <w:r>
        <w:rPr>
          <w:rFonts w:hint="eastAsia" w:ascii="仿宋" w:hAnsi="仿宋" w:eastAsia="仿宋" w:cs="仿宋"/>
          <w:b w:val="0"/>
          <w:bCs/>
          <w:sz w:val="32"/>
          <w:szCs w:val="32"/>
          <w:u w:val="none"/>
        </w:rPr>
        <w:t>决定开展</w:t>
      </w:r>
      <w:r>
        <w:rPr>
          <w:rFonts w:hint="eastAsia" w:ascii="仿宋" w:hAnsi="仿宋" w:eastAsia="仿宋" w:cs="仿宋"/>
          <w:b w:val="0"/>
          <w:bCs/>
          <w:sz w:val="32"/>
          <w:szCs w:val="32"/>
          <w:u w:val="none"/>
          <w:lang w:eastAsia="zh-CN"/>
        </w:rPr>
        <w:t>该项目的预报名和申报书的预审</w:t>
      </w:r>
      <w:r>
        <w:rPr>
          <w:rFonts w:hint="eastAsia" w:ascii="仿宋" w:hAnsi="仿宋" w:eastAsia="仿宋" w:cs="仿宋"/>
          <w:b w:val="0"/>
          <w:bCs/>
          <w:sz w:val="32"/>
          <w:szCs w:val="32"/>
          <w:u w:val="none"/>
        </w:rPr>
        <w:t>工作。</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现将有关事项通知如下：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一、申报条件</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（一）申请人（指项目负责人，下同）应为我省在职教师或科研人员，具有独立开展科研工作的能力，原则上不超过40周岁。</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（二）申请人一般应为中级及以下职称人员。</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（三）每个申请人最多只能申报1个项目，已承担省部级以上项目或福建省中青年教师教育科研项目尚未结题的不能申报。</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（四）符合《福建省中青年教师教育科研项目管理暂行办法》其他申报条件。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支持方向</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（一）具有一定</w:t>
      </w:r>
      <w:r>
        <w:rPr>
          <w:rFonts w:hint="eastAsia" w:ascii="仿宋" w:hAnsi="仿宋" w:eastAsia="仿宋" w:cs="仿宋"/>
          <w:b w:val="0"/>
          <w:bCs/>
          <w:sz w:val="32"/>
          <w:szCs w:val="32"/>
          <w:u w:val="none"/>
          <w:lang w:eastAsia="zh-CN"/>
        </w:rPr>
        <w:t>应用</w:t>
      </w:r>
      <w:r>
        <w:rPr>
          <w:rFonts w:hint="eastAsia" w:ascii="仿宋" w:hAnsi="仿宋" w:eastAsia="仿宋" w:cs="仿宋"/>
          <w:b w:val="0"/>
          <w:bCs/>
          <w:sz w:val="32"/>
          <w:szCs w:val="32"/>
          <w:u w:val="none"/>
        </w:rPr>
        <w:t>价值或现实意义，优先支持具有创新性和研究基础的项目。</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（二）优先支持有利于提升</w:t>
      </w:r>
      <w:r>
        <w:rPr>
          <w:rFonts w:hint="eastAsia" w:ascii="仿宋" w:hAnsi="仿宋" w:eastAsia="仿宋" w:cs="仿宋"/>
          <w:b w:val="0"/>
          <w:bCs/>
          <w:sz w:val="32"/>
          <w:szCs w:val="32"/>
          <w:u w:val="none"/>
          <w:lang w:eastAsia="zh-CN"/>
        </w:rPr>
        <w:t>我校</w:t>
      </w:r>
      <w:r>
        <w:rPr>
          <w:rFonts w:hint="eastAsia" w:ascii="仿宋" w:hAnsi="仿宋" w:eastAsia="仿宋" w:cs="仿宋"/>
          <w:b w:val="0"/>
          <w:bCs/>
          <w:sz w:val="32"/>
          <w:szCs w:val="32"/>
          <w:u w:val="none"/>
        </w:rPr>
        <w:t>科研创新能力和推动我省</w:t>
      </w:r>
      <w:r>
        <w:rPr>
          <w:rFonts w:hint="eastAsia" w:ascii="仿宋" w:hAnsi="仿宋" w:eastAsia="仿宋" w:cs="仿宋"/>
          <w:b w:val="0"/>
          <w:bCs/>
          <w:sz w:val="32"/>
          <w:szCs w:val="32"/>
          <w:u w:val="none"/>
          <w:lang w:eastAsia="zh-CN"/>
        </w:rPr>
        <w:t>、市</w:t>
      </w:r>
      <w:r>
        <w:rPr>
          <w:rFonts w:hint="eastAsia" w:ascii="仿宋" w:hAnsi="仿宋" w:eastAsia="仿宋" w:cs="仿宋"/>
          <w:b w:val="0"/>
          <w:bCs/>
          <w:sz w:val="32"/>
          <w:szCs w:val="32"/>
          <w:u w:val="none"/>
        </w:rPr>
        <w:t>产业转型升级，有利于获得自主知识产权、有转化前景的科技类项目。</w:t>
      </w:r>
    </w:p>
    <w:p>
      <w:pPr>
        <w:spacing w:line="560" w:lineRule="exact"/>
        <w:ind w:firstLine="640" w:firstLineChars="200"/>
        <w:rPr>
          <w:rFonts w:hint="eastAsia" w:ascii="仿宋" w:hAnsi="仿宋" w:eastAsia="仿宋" w:cs="仿宋"/>
          <w:b w:val="0"/>
          <w:bCs/>
          <w:sz w:val="32"/>
          <w:szCs w:val="32"/>
          <w:u w:val="none"/>
        </w:rPr>
      </w:pPr>
      <w:r>
        <w:rPr>
          <w:rFonts w:hint="eastAsia" w:ascii="仿宋" w:hAnsi="仿宋" w:eastAsia="仿宋" w:cs="仿宋"/>
          <w:b w:val="0"/>
          <w:bCs/>
          <w:sz w:val="32"/>
          <w:szCs w:val="32"/>
          <w:u w:val="none"/>
        </w:rPr>
        <w:t>（</w:t>
      </w:r>
      <w:r>
        <w:rPr>
          <w:rFonts w:hint="eastAsia" w:ascii="仿宋" w:hAnsi="仿宋" w:eastAsia="仿宋" w:cs="仿宋"/>
          <w:b w:val="0"/>
          <w:bCs/>
          <w:sz w:val="32"/>
          <w:szCs w:val="32"/>
          <w:u w:val="none"/>
          <w:lang w:eastAsia="zh-CN"/>
        </w:rPr>
        <w:t>三</w:t>
      </w:r>
      <w:r>
        <w:rPr>
          <w:rFonts w:hint="eastAsia" w:ascii="仿宋" w:hAnsi="仿宋" w:eastAsia="仿宋" w:cs="仿宋"/>
          <w:b w:val="0"/>
          <w:bCs/>
          <w:sz w:val="32"/>
          <w:szCs w:val="32"/>
          <w:u w:val="none"/>
        </w:rPr>
        <w:t>）突出项目与平台、团队的有机结合，优先支持以</w:t>
      </w:r>
      <w:r>
        <w:rPr>
          <w:rFonts w:hint="eastAsia" w:ascii="仿宋" w:hAnsi="仿宋" w:eastAsia="仿宋" w:cs="仿宋"/>
          <w:b w:val="0"/>
          <w:bCs/>
          <w:sz w:val="32"/>
          <w:szCs w:val="32"/>
          <w:u w:val="none"/>
          <w:lang w:eastAsia="zh-CN"/>
        </w:rPr>
        <w:t>我校</w:t>
      </w:r>
      <w:r>
        <w:rPr>
          <w:rFonts w:hint="eastAsia" w:ascii="仿宋" w:hAnsi="仿宋" w:eastAsia="仿宋" w:cs="仿宋"/>
          <w:b w:val="0"/>
          <w:bCs/>
          <w:sz w:val="32"/>
          <w:szCs w:val="32"/>
          <w:u w:val="none"/>
        </w:rPr>
        <w:t>科研平台和创新团队为依托的项目。</w:t>
      </w:r>
    </w:p>
    <w:p>
      <w:pPr>
        <w:spacing w:line="560" w:lineRule="exact"/>
        <w:ind w:firstLine="640" w:firstLineChars="20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eastAsia="zh-CN"/>
        </w:rPr>
        <w:t>（四）优先支持我校首批本科专业相关的科技类、教改类研究课题。</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申报程序与时间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Arial" w:hAnsi="Arial" w:eastAsia="宋体" w:cs="Arial"/>
          <w:b w:val="0"/>
          <w:bCs/>
          <w:i w:val="0"/>
          <w:caps w:val="0"/>
          <w:color w:val="2C4A77"/>
          <w:spacing w:val="0"/>
          <w:sz w:val="24"/>
          <w:szCs w:val="24"/>
          <w:u w:val="none"/>
          <w:shd w:val="clear" w:fill="FFFFFF"/>
          <w:lang w:eastAsia="zh-CN"/>
        </w:rPr>
      </w:pPr>
      <w:r>
        <w:rPr>
          <w:rFonts w:hint="eastAsia" w:ascii="仿宋" w:hAnsi="仿宋" w:eastAsia="仿宋" w:cs="仿宋"/>
          <w:b w:val="0"/>
          <w:bCs/>
          <w:sz w:val="32"/>
          <w:szCs w:val="32"/>
          <w:u w:val="none"/>
          <w:lang w:val="en-US" w:eastAsia="zh-CN"/>
        </w:rPr>
        <w:t>请将《福建省中青年教师教育科研项目（科技类）申请书》和《福建省中青年教师教育科研项目（科技类）申报推荐汇总表》电子版于2019年11月27日前发送至邮箱</w:t>
      </w:r>
      <w:r>
        <w:rPr>
          <w:rFonts w:ascii="Arial" w:hAnsi="Arial" w:eastAsia="Arial" w:cs="Arial"/>
          <w:b w:val="0"/>
          <w:bCs/>
          <w:i w:val="0"/>
          <w:caps w:val="0"/>
          <w:color w:val="2C4A77"/>
          <w:spacing w:val="0"/>
          <w:sz w:val="24"/>
          <w:szCs w:val="24"/>
          <w:u w:val="none"/>
          <w:shd w:val="clear" w:fill="FFFFFF"/>
        </w:rPr>
        <w:fldChar w:fldCharType="begin"/>
      </w:r>
      <w:r>
        <w:rPr>
          <w:rFonts w:ascii="Arial" w:hAnsi="Arial" w:eastAsia="Arial" w:cs="Arial"/>
          <w:b w:val="0"/>
          <w:bCs/>
          <w:i w:val="0"/>
          <w:caps w:val="0"/>
          <w:color w:val="2C4A77"/>
          <w:spacing w:val="0"/>
          <w:sz w:val="24"/>
          <w:szCs w:val="24"/>
          <w:u w:val="none"/>
          <w:shd w:val="clear" w:fill="FFFFFF"/>
        </w:rPr>
        <w:instrText xml:space="preserve"> HYPERLINK "mailto:changjinping@qvtu.edu.cn。" </w:instrText>
      </w:r>
      <w:r>
        <w:rPr>
          <w:rFonts w:ascii="Arial" w:hAnsi="Arial" w:eastAsia="Arial" w:cs="Arial"/>
          <w:b w:val="0"/>
          <w:bCs/>
          <w:i w:val="0"/>
          <w:caps w:val="0"/>
          <w:color w:val="2C4A77"/>
          <w:spacing w:val="0"/>
          <w:sz w:val="24"/>
          <w:szCs w:val="24"/>
          <w:u w:val="none"/>
          <w:shd w:val="clear" w:fill="FFFFFF"/>
        </w:rPr>
        <w:fldChar w:fldCharType="separate"/>
      </w:r>
      <w:r>
        <w:rPr>
          <w:rStyle w:val="9"/>
          <w:rFonts w:ascii="Arial" w:hAnsi="Arial" w:eastAsia="Arial" w:cs="Arial"/>
          <w:b w:val="0"/>
          <w:bCs/>
          <w:i w:val="0"/>
          <w:caps w:val="0"/>
          <w:spacing w:val="0"/>
          <w:sz w:val="24"/>
          <w:szCs w:val="24"/>
          <w:u w:val="none"/>
          <w:shd w:val="clear" w:fill="FFFFFF"/>
        </w:rPr>
        <w:t>changjinping@qvtu.edu.cn</w:t>
      </w:r>
      <w:r>
        <w:rPr>
          <w:rFonts w:ascii="Arial" w:hAnsi="Arial" w:eastAsia="Arial" w:cs="Arial"/>
          <w:b w:val="0"/>
          <w:bCs/>
          <w:i w:val="0"/>
          <w:caps w:val="0"/>
          <w:color w:val="2C4A77"/>
          <w:spacing w:val="0"/>
          <w:sz w:val="24"/>
          <w:szCs w:val="24"/>
          <w:u w:val="none"/>
          <w:shd w:val="clear" w:fill="FFFFFF"/>
        </w:rPr>
        <w:fldChar w:fldCharType="end"/>
      </w:r>
      <w:r>
        <w:rPr>
          <w:rFonts w:hint="eastAsia" w:ascii="Arial" w:hAnsi="Arial" w:eastAsia="宋体" w:cs="Arial"/>
          <w:b w:val="0"/>
          <w:bCs/>
          <w:i w:val="0"/>
          <w:caps w:val="0"/>
          <w:color w:val="2C4A77"/>
          <w:spacing w:val="0"/>
          <w:sz w:val="24"/>
          <w:szCs w:val="24"/>
          <w:u w:val="none"/>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Arial" w:hAnsi="Arial" w:eastAsia="宋体" w:cs="Arial"/>
          <w:b w:val="0"/>
          <w:bCs/>
          <w:i w:val="0"/>
          <w:caps w:val="0"/>
          <w:color w:val="2C4A77"/>
          <w:spacing w:val="0"/>
          <w:sz w:val="24"/>
          <w:szCs w:val="24"/>
          <w:u w:val="none"/>
          <w:shd w:val="clear" w:fill="FFFFFF"/>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1.福建省教育厅中青年教师教育科研项目（科技类）申请书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2.《福建省中青年教师教育科研项目（科技类）申报推荐汇总表》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仿宋" w:hAnsi="仿宋" w:eastAsia="仿宋" w:cs="仿宋"/>
          <w:b w:val="0"/>
          <w:bCs/>
          <w:sz w:val="32"/>
          <w:szCs w:val="32"/>
          <w:u w:val="none"/>
          <w:lang w:val="en-US" w:eastAsia="zh-CN"/>
        </w:rPr>
      </w:pPr>
    </w:p>
    <w:p>
      <w:pPr>
        <w:widowControl w:val="0"/>
        <w:numPr>
          <w:ilvl w:val="0"/>
          <w:numId w:val="0"/>
        </w:numPr>
        <w:spacing w:line="560" w:lineRule="exact"/>
        <w:jc w:val="both"/>
        <w:rPr>
          <w:rFonts w:hint="default" w:ascii="仿宋" w:hAnsi="仿宋" w:eastAsia="仿宋" w:cs="仿宋"/>
          <w:b w:val="0"/>
          <w:bCs/>
          <w:sz w:val="32"/>
          <w:szCs w:val="32"/>
          <w:u w:val="none"/>
          <w:lang w:val="en-US" w:eastAsia="zh-CN"/>
        </w:rPr>
      </w:pPr>
    </w:p>
    <w:p>
      <w:pPr>
        <w:widowControl w:val="0"/>
        <w:numPr>
          <w:ilvl w:val="0"/>
          <w:numId w:val="0"/>
        </w:numPr>
        <w:spacing w:line="560" w:lineRule="exact"/>
        <w:jc w:val="both"/>
        <w:rPr>
          <w:rFonts w:hint="default" w:ascii="仿宋" w:hAnsi="仿宋" w:eastAsia="仿宋" w:cs="仿宋"/>
          <w:b w:val="0"/>
          <w:bCs/>
          <w:sz w:val="32"/>
          <w:szCs w:val="32"/>
          <w:u w:val="none"/>
          <w:lang w:val="en-US" w:eastAsia="zh-CN"/>
        </w:rPr>
      </w:pPr>
    </w:p>
    <w:p>
      <w:pPr>
        <w:widowControl w:val="0"/>
        <w:numPr>
          <w:ilvl w:val="0"/>
          <w:numId w:val="0"/>
        </w:numPr>
        <w:spacing w:line="560" w:lineRule="exact"/>
        <w:jc w:val="both"/>
        <w:rPr>
          <w:rFonts w:hint="default" w:ascii="仿宋" w:hAnsi="仿宋" w:eastAsia="仿宋" w:cs="仿宋"/>
          <w:b w:val="0"/>
          <w:bCs/>
          <w:sz w:val="32"/>
          <w:szCs w:val="32"/>
          <w:u w:val="none"/>
          <w:lang w:val="en-US" w:eastAsia="zh-CN"/>
        </w:rPr>
      </w:pPr>
    </w:p>
    <w:p>
      <w:pPr>
        <w:spacing w:line="560" w:lineRule="exact"/>
        <w:jc w:val="both"/>
        <w:rPr>
          <w:rFonts w:hint="default" w:ascii="Arial" w:hAnsi="Arial" w:eastAsia="宋体" w:cs="Arial"/>
          <w:i w:val="0"/>
          <w:caps w:val="0"/>
          <w:color w:val="2C4A77"/>
          <w:spacing w:val="0"/>
          <w:sz w:val="24"/>
          <w:szCs w:val="24"/>
          <w:u w:val="none"/>
          <w:shd w:val="clear" w:fill="FFFFFF"/>
          <w:lang w:val="en-US" w:eastAsia="zh-CN"/>
        </w:rPr>
      </w:pPr>
    </w:p>
    <w:p>
      <w:pPr>
        <w:spacing w:line="560" w:lineRule="exact"/>
        <w:jc w:val="both"/>
        <w:rPr>
          <w:rFonts w:hint="default" w:ascii="Arial" w:hAnsi="Arial" w:eastAsia="宋体" w:cs="Arial"/>
          <w:i w:val="0"/>
          <w:caps w:val="0"/>
          <w:color w:val="2C4A77"/>
          <w:spacing w:val="0"/>
          <w:sz w:val="24"/>
          <w:szCs w:val="24"/>
          <w:u w:val="none"/>
          <w:shd w:val="clear" w:fill="FFFFFF"/>
          <w:lang w:val="en-US" w:eastAsia="zh-CN"/>
        </w:rPr>
      </w:pPr>
    </w:p>
    <w:p>
      <w:pPr>
        <w:spacing w:line="560" w:lineRule="exact"/>
        <w:ind w:firstLine="4000" w:firstLineChars="1250"/>
        <w:jc w:val="center"/>
        <w:rPr>
          <w:rFonts w:ascii="仿宋" w:hAnsi="仿宋" w:eastAsia="仿宋" w:cs="仿宋"/>
          <w:b w:val="0"/>
          <w:bCs/>
          <w:sz w:val="32"/>
          <w:szCs w:val="32"/>
          <w:u w:val="none"/>
        </w:rPr>
      </w:pPr>
      <w:r>
        <w:rPr>
          <w:rFonts w:hint="eastAsia" w:ascii="仿宋" w:hAnsi="仿宋" w:eastAsia="仿宋" w:cs="仿宋"/>
          <w:b w:val="0"/>
          <w:bCs/>
          <w:sz w:val="32"/>
          <w:szCs w:val="32"/>
          <w:u w:val="none"/>
        </w:rPr>
        <w:t xml:space="preserve">     科研处</w:t>
      </w:r>
    </w:p>
    <w:p>
      <w:pPr>
        <w:spacing w:line="560" w:lineRule="exact"/>
        <w:ind w:firstLine="5920" w:firstLineChars="1850"/>
        <w:rPr>
          <w:rFonts w:ascii="仿宋" w:hAnsi="仿宋" w:eastAsia="仿宋" w:cs="仿宋"/>
          <w:b w:val="0"/>
          <w:bCs/>
          <w:sz w:val="32"/>
          <w:szCs w:val="32"/>
          <w:u w:val="none"/>
        </w:rPr>
      </w:pPr>
      <w:r>
        <w:rPr>
          <w:rFonts w:hint="eastAsia" w:ascii="仿宋" w:hAnsi="仿宋" w:eastAsia="仿宋" w:cs="仿宋"/>
          <w:b w:val="0"/>
          <w:bCs/>
          <w:sz w:val="32"/>
          <w:szCs w:val="32"/>
          <w:u w:val="none"/>
        </w:rPr>
        <w:t>2019年</w:t>
      </w:r>
      <w:r>
        <w:rPr>
          <w:rFonts w:hint="eastAsia" w:ascii="仿宋" w:hAnsi="仿宋" w:eastAsia="仿宋" w:cs="仿宋"/>
          <w:b w:val="0"/>
          <w:bCs/>
          <w:sz w:val="32"/>
          <w:szCs w:val="32"/>
          <w:u w:val="none"/>
          <w:lang w:val="en-US" w:eastAsia="zh-CN"/>
        </w:rPr>
        <w:t>11</w:t>
      </w:r>
      <w:r>
        <w:rPr>
          <w:rFonts w:hint="eastAsia" w:ascii="仿宋" w:hAnsi="仿宋" w:eastAsia="仿宋" w:cs="仿宋"/>
          <w:b w:val="0"/>
          <w:bCs/>
          <w:sz w:val="32"/>
          <w:szCs w:val="32"/>
          <w:u w:val="none"/>
        </w:rPr>
        <w:t>月</w:t>
      </w:r>
      <w:r>
        <w:rPr>
          <w:rFonts w:hint="eastAsia" w:ascii="仿宋" w:hAnsi="仿宋" w:eastAsia="仿宋" w:cs="仿宋"/>
          <w:b w:val="0"/>
          <w:bCs/>
          <w:sz w:val="32"/>
          <w:szCs w:val="32"/>
          <w:u w:val="none"/>
          <w:lang w:val="en-US" w:eastAsia="zh-CN"/>
        </w:rPr>
        <w:t>19</w:t>
      </w:r>
      <w:r>
        <w:rPr>
          <w:rFonts w:hint="eastAsia" w:ascii="仿宋" w:hAnsi="仿宋" w:eastAsia="仿宋" w:cs="仿宋"/>
          <w:b w:val="0"/>
          <w:bCs/>
          <w:sz w:val="32"/>
          <w:szCs w:val="32"/>
          <w:u w:val="none"/>
        </w:rPr>
        <w:t>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6887D8"/>
    <w:multiLevelType w:val="singleLevel"/>
    <w:tmpl w:val="EF6887D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73470"/>
    <w:rsid w:val="004D197B"/>
    <w:rsid w:val="00501F6D"/>
    <w:rsid w:val="005E75FE"/>
    <w:rsid w:val="006449D6"/>
    <w:rsid w:val="007B515E"/>
    <w:rsid w:val="0088449E"/>
    <w:rsid w:val="008C538D"/>
    <w:rsid w:val="00A62118"/>
    <w:rsid w:val="00B2709E"/>
    <w:rsid w:val="00C0590D"/>
    <w:rsid w:val="00C735A6"/>
    <w:rsid w:val="00D22723"/>
    <w:rsid w:val="00D936D4"/>
    <w:rsid w:val="00EB2CE7"/>
    <w:rsid w:val="00FE3B3A"/>
    <w:rsid w:val="025374D9"/>
    <w:rsid w:val="02A022BC"/>
    <w:rsid w:val="03D43972"/>
    <w:rsid w:val="048D31D6"/>
    <w:rsid w:val="05893BF7"/>
    <w:rsid w:val="073C45EB"/>
    <w:rsid w:val="0AFE6800"/>
    <w:rsid w:val="0C1C05AF"/>
    <w:rsid w:val="0D4C1F38"/>
    <w:rsid w:val="103A04D4"/>
    <w:rsid w:val="10986628"/>
    <w:rsid w:val="112615D9"/>
    <w:rsid w:val="141C547B"/>
    <w:rsid w:val="1550305D"/>
    <w:rsid w:val="15505670"/>
    <w:rsid w:val="15E718B2"/>
    <w:rsid w:val="16122FE7"/>
    <w:rsid w:val="17B55E1A"/>
    <w:rsid w:val="187A3ED6"/>
    <w:rsid w:val="1A0152BD"/>
    <w:rsid w:val="1F144452"/>
    <w:rsid w:val="20F3288B"/>
    <w:rsid w:val="2118244C"/>
    <w:rsid w:val="21E1726B"/>
    <w:rsid w:val="225A2216"/>
    <w:rsid w:val="240019AE"/>
    <w:rsid w:val="2483423B"/>
    <w:rsid w:val="27364C5F"/>
    <w:rsid w:val="28C92E92"/>
    <w:rsid w:val="2F90750B"/>
    <w:rsid w:val="31700513"/>
    <w:rsid w:val="37517314"/>
    <w:rsid w:val="386A4320"/>
    <w:rsid w:val="398E7BC9"/>
    <w:rsid w:val="39F6067B"/>
    <w:rsid w:val="3A691882"/>
    <w:rsid w:val="3BEE1909"/>
    <w:rsid w:val="3C784EC2"/>
    <w:rsid w:val="3CB33245"/>
    <w:rsid w:val="42A30AD3"/>
    <w:rsid w:val="4506646B"/>
    <w:rsid w:val="45A36261"/>
    <w:rsid w:val="46B03E4B"/>
    <w:rsid w:val="48F55420"/>
    <w:rsid w:val="4A7A1E69"/>
    <w:rsid w:val="50526349"/>
    <w:rsid w:val="505602D5"/>
    <w:rsid w:val="52352F67"/>
    <w:rsid w:val="5270756E"/>
    <w:rsid w:val="52C51A67"/>
    <w:rsid w:val="52D03B61"/>
    <w:rsid w:val="54460DE4"/>
    <w:rsid w:val="57135E4A"/>
    <w:rsid w:val="585A1D5F"/>
    <w:rsid w:val="5B1607DE"/>
    <w:rsid w:val="5CDC7AB6"/>
    <w:rsid w:val="5CE65A6A"/>
    <w:rsid w:val="60D32344"/>
    <w:rsid w:val="62367857"/>
    <w:rsid w:val="623C2A28"/>
    <w:rsid w:val="640972D0"/>
    <w:rsid w:val="64574D14"/>
    <w:rsid w:val="6696605F"/>
    <w:rsid w:val="66CC5D14"/>
    <w:rsid w:val="6C40196F"/>
    <w:rsid w:val="6CBA1855"/>
    <w:rsid w:val="6D1F6713"/>
    <w:rsid w:val="6D691309"/>
    <w:rsid w:val="6EBD3932"/>
    <w:rsid w:val="70375FA5"/>
    <w:rsid w:val="70B02DD9"/>
    <w:rsid w:val="713A3DF3"/>
    <w:rsid w:val="71A77B00"/>
    <w:rsid w:val="72BE6D8B"/>
    <w:rsid w:val="73760E54"/>
    <w:rsid w:val="74EF3FAA"/>
    <w:rsid w:val="7B175B60"/>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kern w:val="44"/>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b/>
      <w:kern w:val="2"/>
      <w:sz w:val="18"/>
      <w:szCs w:val="18"/>
      <w:u w:val="single"/>
    </w:rPr>
  </w:style>
  <w:style w:type="character" w:customStyle="1" w:styleId="11">
    <w:name w:val="页脚 Char"/>
    <w:basedOn w:val="7"/>
    <w:link w:val="3"/>
    <w:qFormat/>
    <w:uiPriority w:val="0"/>
    <w:rPr>
      <w:b/>
      <w:kern w:val="2"/>
      <w:sz w:val="18"/>
      <w:szCs w:val="18"/>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FE037A-D127-468A-AD98-08E59799032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47</Words>
  <Characters>274</Characters>
  <Lines>2</Lines>
  <Paragraphs>1</Paragraphs>
  <TotalTime>45</TotalTime>
  <ScaleCrop>false</ScaleCrop>
  <LinksUpToDate>false</LinksUpToDate>
  <CharactersWithSpaces>320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任笑缘</cp:lastModifiedBy>
  <cp:lastPrinted>2018-12-26T19:59:00Z</cp:lastPrinted>
  <dcterms:modified xsi:type="dcterms:W3CDTF">2019-11-19T02:34:18Z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