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804" w:type="dxa"/>
        <w:jc w:val="center"/>
        <w:tblInd w:w="-179" w:type="dxa"/>
        <w:tblLayout w:type="fixed"/>
        <w:tblCellMar>
          <w:top w:w="15" w:type="dxa"/>
          <w:left w:w="15" w:type="dxa"/>
          <w:bottom w:w="15" w:type="dxa"/>
          <w:right w:w="15" w:type="dxa"/>
        </w:tblCellMar>
      </w:tblPr>
      <w:tblGrid>
        <w:gridCol w:w="6680"/>
        <w:gridCol w:w="900"/>
        <w:gridCol w:w="1665"/>
        <w:gridCol w:w="559"/>
      </w:tblGrid>
      <w:tr>
        <w:tblPrEx>
          <w:tblLayout w:type="fixed"/>
          <w:tblCellMar>
            <w:top w:w="15" w:type="dxa"/>
            <w:left w:w="15" w:type="dxa"/>
            <w:bottom w:w="15" w:type="dxa"/>
            <w:right w:w="15" w:type="dxa"/>
          </w:tblCellMar>
        </w:tblPrEx>
        <w:trPr>
          <w:trHeight w:val="2048" w:hRule="atLeast"/>
          <w:jc w:val="center"/>
        </w:trPr>
        <w:tc>
          <w:tcPr>
            <w:tcW w:w="6680" w:type="dxa"/>
            <w:tcBorders>
              <w:bottom w:val="nil"/>
              <w:tl2br w:val="nil"/>
              <w:tr2bl w:val="nil"/>
            </w:tcBorders>
            <w:shd w:val="clear" w:color="auto" w:fill="auto"/>
            <w:vAlign w:val="center"/>
          </w:tcPr>
          <w:p>
            <w:pPr>
              <w:widowControl/>
              <w:jc w:val="center"/>
              <w:textAlignment w:val="center"/>
              <w:rPr>
                <w:rFonts w:hint="eastAsia" w:ascii="Times New Roman" w:hAnsi="Times New Roman" w:cs="Times New Roman" w:eastAsiaTheme="minorEastAsia"/>
                <w:color w:val="FF0000"/>
                <w:sz w:val="72"/>
                <w:szCs w:val="72"/>
                <w:u w:val="none"/>
                <w:lang w:eastAsia="zh-CN"/>
              </w:rPr>
            </w:pPr>
            <w:r>
              <w:rPr>
                <w:rFonts w:hint="eastAsia" w:asciiTheme="minorEastAsia" w:hAnsiTheme="minorEastAsia" w:cstheme="minorEastAsia"/>
                <w:color w:val="FF0000"/>
                <w:w w:val="66"/>
                <w:sz w:val="120"/>
                <w:szCs w:val="120"/>
                <w:u w:val="none"/>
              </w:rPr>
              <w:t>泉州</w:t>
            </w:r>
            <w:r>
              <w:rPr>
                <w:rFonts w:hint="eastAsia" w:asciiTheme="minorEastAsia" w:hAnsiTheme="minorEastAsia" w:cstheme="minorEastAsia"/>
                <w:color w:val="FF0000"/>
                <w:w w:val="66"/>
                <w:sz w:val="120"/>
                <w:szCs w:val="120"/>
                <w:u w:val="none"/>
                <w:lang w:val="en-US" w:eastAsia="zh-CN"/>
              </w:rPr>
              <w:t>职业技术大学</w:t>
            </w:r>
          </w:p>
        </w:tc>
        <w:tc>
          <w:tcPr>
            <w:tcW w:w="900" w:type="dxa"/>
            <w:tcBorders>
              <w:bottom w:val="nil"/>
              <w:tl2br w:val="nil"/>
              <w:tr2bl w:val="nil"/>
            </w:tcBorders>
            <w:shd w:val="clear" w:color="auto" w:fill="auto"/>
            <w:vAlign w:val="center"/>
          </w:tcPr>
          <w:p>
            <w:pPr>
              <w:widowControl/>
              <w:jc w:val="left"/>
              <w:textAlignment w:val="center"/>
              <w:rPr>
                <w:rFonts w:ascii="Times New Roman" w:hAnsi="Times New Roman" w:eastAsia="宋体" w:cs="Times New Roman"/>
                <w:color w:val="FF0000"/>
                <w:sz w:val="72"/>
                <w:szCs w:val="72"/>
                <w:u w:val="none"/>
              </w:rPr>
            </w:pPr>
            <w:r>
              <w:rPr>
                <w:rFonts w:ascii="Times New Roman" w:hAnsi="Times New Roman" w:eastAsia="宋体" w:cs="Times New Roman"/>
                <w:color w:val="FF0000"/>
                <w:kern w:val="0"/>
                <w:sz w:val="96"/>
                <w:szCs w:val="96"/>
                <w:u w:val="none"/>
                <w:lang w:bidi="ar"/>
              </w:rPr>
              <w:t>（</w:t>
            </w:r>
          </w:p>
        </w:tc>
        <w:tc>
          <w:tcPr>
            <w:tcW w:w="1665" w:type="dxa"/>
            <w:tcBorders>
              <w:bottom w:val="nil"/>
              <w:tl2br w:val="nil"/>
              <w:tr2bl w:val="nil"/>
            </w:tcBorders>
            <w:shd w:val="clear" w:color="auto" w:fill="auto"/>
            <w:vAlign w:val="center"/>
          </w:tcPr>
          <w:p>
            <w:pPr>
              <w:widowControl/>
              <w:spacing w:line="400" w:lineRule="exact"/>
              <w:jc w:val="center"/>
              <w:textAlignment w:val="bottom"/>
              <w:rPr>
                <w:rFonts w:ascii="Times New Roman" w:hAnsi="Times New Roman" w:eastAsia="新宋体" w:cs="Times New Roman"/>
                <w:color w:val="000000"/>
                <w:kern w:val="0"/>
                <w:sz w:val="32"/>
                <w:szCs w:val="32"/>
                <w:u w:val="none"/>
                <w:lang w:bidi="ar"/>
              </w:rPr>
            </w:pPr>
            <w:r>
              <w:rPr>
                <w:rFonts w:hint="eastAsia" w:ascii="Times New Roman" w:hAnsi="Times New Roman" w:eastAsia="新宋体" w:cs="Times New Roman"/>
                <w:color w:val="000000"/>
                <w:kern w:val="0"/>
                <w:sz w:val="32"/>
                <w:szCs w:val="32"/>
                <w:u w:val="none"/>
                <w:lang w:bidi="ar"/>
              </w:rPr>
              <w:t>科研处</w:t>
            </w:r>
          </w:p>
          <w:p>
            <w:pPr>
              <w:widowControl/>
              <w:spacing w:line="400" w:lineRule="exact"/>
              <w:jc w:val="center"/>
              <w:textAlignment w:val="top"/>
              <w:rPr>
                <w:rFonts w:ascii="Times New Roman" w:hAnsi="Times New Roman" w:eastAsia="新宋体" w:cs="Times New Roman"/>
                <w:color w:val="000000"/>
                <w:sz w:val="32"/>
                <w:szCs w:val="32"/>
                <w:u w:val="none"/>
              </w:rPr>
            </w:pPr>
            <w:r>
              <w:rPr>
                <w:rFonts w:ascii="Times New Roman" w:hAnsi="Times New Roman" w:eastAsia="新宋体" w:cs="Times New Roman"/>
                <w:color w:val="000000"/>
                <w:kern w:val="0"/>
                <w:sz w:val="32"/>
                <w:szCs w:val="32"/>
                <w:u w:val="none"/>
                <w:lang w:bidi="ar"/>
              </w:rPr>
              <w:t>通</w:t>
            </w:r>
            <w:r>
              <w:rPr>
                <w:rFonts w:hint="eastAsia" w:ascii="Times New Roman" w:hAnsi="Times New Roman" w:eastAsia="新宋体" w:cs="Times New Roman"/>
                <w:color w:val="000000"/>
                <w:kern w:val="0"/>
                <w:sz w:val="32"/>
                <w:szCs w:val="32"/>
                <w:u w:val="none"/>
                <w:lang w:bidi="ar"/>
              </w:rPr>
              <w:t xml:space="preserve">  </w:t>
            </w:r>
            <w:r>
              <w:rPr>
                <w:rFonts w:ascii="Times New Roman" w:hAnsi="Times New Roman" w:eastAsia="新宋体" w:cs="Times New Roman"/>
                <w:color w:val="000000"/>
                <w:kern w:val="0"/>
                <w:sz w:val="32"/>
                <w:szCs w:val="32"/>
                <w:u w:val="none"/>
                <w:lang w:bidi="ar"/>
              </w:rPr>
              <w:t>知</w:t>
            </w:r>
          </w:p>
        </w:tc>
        <w:tc>
          <w:tcPr>
            <w:tcW w:w="559" w:type="dxa"/>
            <w:tcBorders>
              <w:bottom w:val="nil"/>
              <w:tl2br w:val="nil"/>
              <w:tr2bl w:val="nil"/>
            </w:tcBorders>
            <w:shd w:val="clear" w:color="auto" w:fill="auto"/>
            <w:vAlign w:val="center"/>
          </w:tcPr>
          <w:p>
            <w:pPr>
              <w:widowControl/>
              <w:jc w:val="center"/>
              <w:textAlignment w:val="center"/>
              <w:rPr>
                <w:rFonts w:ascii="Times New Roman" w:hAnsi="Times New Roman" w:eastAsia="宋体" w:cs="Times New Roman"/>
                <w:color w:val="FF0000"/>
                <w:sz w:val="72"/>
                <w:szCs w:val="72"/>
                <w:u w:val="none"/>
              </w:rPr>
            </w:pPr>
            <w:r>
              <w:rPr>
                <w:rFonts w:ascii="Times New Roman" w:hAnsi="Times New Roman" w:eastAsia="宋体" w:cs="Times New Roman"/>
                <w:color w:val="FF0000"/>
                <w:kern w:val="0"/>
                <w:sz w:val="96"/>
                <w:szCs w:val="96"/>
                <w:u w:val="none"/>
                <w:lang w:bidi="ar"/>
              </w:rPr>
              <w:t>）</w:t>
            </w:r>
          </w:p>
        </w:tc>
      </w:tr>
      <w:tr>
        <w:tblPrEx>
          <w:tblLayout w:type="fixed"/>
          <w:tblCellMar>
            <w:top w:w="15" w:type="dxa"/>
            <w:left w:w="15" w:type="dxa"/>
            <w:bottom w:w="15" w:type="dxa"/>
            <w:right w:w="15" w:type="dxa"/>
          </w:tblCellMar>
        </w:tblPrEx>
        <w:trPr>
          <w:trHeight w:val="850" w:hRule="atLeast"/>
          <w:jc w:val="center"/>
        </w:trPr>
        <w:tc>
          <w:tcPr>
            <w:tcW w:w="9804" w:type="dxa"/>
            <w:gridSpan w:val="4"/>
            <w:tcBorders>
              <w:top w:val="nil"/>
              <w:left w:val="nil"/>
              <w:bottom w:val="nil"/>
              <w:right w:val="nil"/>
              <w:tl2br w:val="nil"/>
              <w:tr2bl w:val="nil"/>
            </w:tcBorders>
            <w:shd w:val="clear" w:color="auto" w:fill="auto"/>
            <w:vAlign w:val="center"/>
          </w:tcPr>
          <w:p>
            <w:pPr>
              <w:widowControl/>
              <w:jc w:val="center"/>
              <w:textAlignment w:val="center"/>
              <w:rPr>
                <w:rFonts w:ascii="Times New Roman" w:hAnsi="Times New Roman" w:eastAsia="宋体" w:cs="Times New Roman"/>
                <w:color w:val="000000"/>
                <w:sz w:val="22"/>
                <w:szCs w:val="22"/>
                <w:u w:val="none"/>
              </w:rPr>
            </w:pPr>
            <w:r>
              <w:rPr>
                <w:rFonts w:hint="eastAsia" w:ascii="仿宋" w:hAnsi="仿宋" w:eastAsia="仿宋" w:cs="仿宋"/>
                <w:b w:val="0"/>
                <w:bCs/>
                <w:color w:val="000000"/>
                <w:kern w:val="0"/>
                <w:sz w:val="32"/>
                <w:szCs w:val="32"/>
                <w:u w:val="none"/>
                <w:lang w:bidi="ar"/>
              </w:rPr>
              <w:t>(2019)科</w:t>
            </w:r>
            <w:r>
              <w:rPr>
                <w:rFonts w:hint="eastAsia" w:ascii="仿宋" w:hAnsi="仿宋" w:eastAsia="仿宋" w:cs="仿宋"/>
                <w:b w:val="0"/>
                <w:bCs/>
                <w:color w:val="000000"/>
                <w:kern w:val="0"/>
                <w:sz w:val="32"/>
                <w:szCs w:val="32"/>
                <w:u w:val="none"/>
                <w:lang w:val="en-US" w:eastAsia="zh-CN" w:bidi="ar"/>
              </w:rPr>
              <w:t>43</w:t>
            </w:r>
            <w:r>
              <w:rPr>
                <w:rFonts w:hint="eastAsia" w:ascii="仿宋" w:hAnsi="仿宋" w:eastAsia="仿宋" w:cs="仿宋"/>
                <w:b w:val="0"/>
                <w:bCs/>
                <w:color w:val="000000"/>
                <w:kern w:val="0"/>
                <w:sz w:val="32"/>
                <w:szCs w:val="32"/>
                <w:u w:val="none"/>
                <w:lang w:bidi="ar"/>
              </w:rPr>
              <w:t>号</w:t>
            </w:r>
          </w:p>
        </w:tc>
      </w:tr>
    </w:tbl>
    <w:p>
      <w:pPr>
        <w:keepNext w:val="0"/>
        <w:keepLines w:val="0"/>
        <w:pageBreakBefore w:val="0"/>
        <w:widowControl w:val="0"/>
        <w:kinsoku/>
        <w:wordWrap/>
        <w:overflowPunct/>
        <w:topLinePunct w:val="0"/>
        <w:autoSpaceDE/>
        <w:autoSpaceDN/>
        <w:bidi w:val="0"/>
        <w:adjustRightInd/>
        <w:snapToGrid/>
        <w:spacing w:before="468" w:beforeLines="150" w:line="560" w:lineRule="exact"/>
        <w:jc w:val="center"/>
        <w:textAlignment w:val="auto"/>
        <w:rPr>
          <w:rFonts w:hint="default" w:ascii="黑体" w:hAnsi="黑体" w:eastAsia="黑体" w:cs="黑体"/>
          <w:b w:val="0"/>
          <w:bCs/>
          <w:sz w:val="44"/>
          <w:szCs w:val="44"/>
          <w:u w:val="none"/>
          <w:lang w:val="en-US"/>
        </w:rPr>
      </w:pPr>
      <w:r>
        <w:rPr>
          <w:rFonts w:hint="eastAsia" w:ascii="黑体" w:hAnsi="黑体" w:eastAsia="黑体" w:cs="黑体"/>
          <w:b w:val="0"/>
          <w:bCs/>
          <w:sz w:val="44"/>
          <w:szCs w:val="44"/>
          <w:u w:val="none"/>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8890</wp:posOffset>
                </wp:positionV>
                <wp:extent cx="6193790" cy="8890"/>
                <wp:effectExtent l="0" t="4445" r="16510" b="24765"/>
                <wp:wrapNone/>
                <wp:docPr id="3" name="直接连接符 3"/>
                <wp:cNvGraphicFramePr/>
                <a:graphic xmlns:a="http://schemas.openxmlformats.org/drawingml/2006/main">
                  <a:graphicData uri="http://schemas.microsoft.com/office/word/2010/wordprocessingShape">
                    <wps:wsp>
                      <wps:cNvCnPr/>
                      <wps:spPr>
                        <a:xfrm>
                          <a:off x="756285" y="5076825"/>
                          <a:ext cx="6193790" cy="8890"/>
                        </a:xfrm>
                        <a:prstGeom prst="line">
                          <a:avLst/>
                        </a:prstGeom>
                        <a:ln w="47625"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0.7pt;height:0.7pt;width:487.7pt;z-index:251658240;mso-width-relative:page;mso-height-relative:page;" filled="f" stroked="t" coordsize="21600,21600" o:gfxdata="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9gORNQAAAAEAQAADwAAAAAAAAAB&#10;ACAAAAAiAAAAZHJzL2Rvd25yZXYueG1sUEsBAhQAFAAAAAgAh07iQNbEcifbAQAAcgMAAA4AAAAA&#10;AAAAAQAgAAAAIwEAAGRycy9lMm9Eb2MueG1sUEsFBgAAAAAGAAYAWQEAAHAFAAAAAA==&#10;">
                <v:fill on="f" focussize="0,0"/>
                <v:stroke weight="3.75pt" color="#FF0000 [3204]" miterlimit="8" joinstyle="miter"/>
                <v:imagedata o:title=""/>
                <o:lock v:ext="edit" aspectratio="f"/>
              </v:line>
            </w:pict>
          </mc:Fallback>
        </mc:AlternateContent>
      </w:r>
      <w:r>
        <w:rPr>
          <w:rFonts w:hint="eastAsia" w:ascii="黑体" w:hAnsi="黑体" w:eastAsia="黑体" w:cs="黑体"/>
          <w:b w:val="0"/>
          <w:bCs/>
          <w:sz w:val="44"/>
          <w:szCs w:val="44"/>
          <w:u w:val="none"/>
        </w:rPr>
        <w:t>关于</w:t>
      </w:r>
      <w:r>
        <w:rPr>
          <w:rFonts w:hint="eastAsia" w:ascii="黑体" w:hAnsi="黑体" w:eastAsia="黑体" w:cs="黑体"/>
          <w:b w:val="0"/>
          <w:bCs/>
          <w:sz w:val="44"/>
          <w:szCs w:val="44"/>
          <w:u w:val="none"/>
          <w:lang w:eastAsia="zh-CN"/>
        </w:rPr>
        <w:t>转发《关于做好第十五届福建青年科技奖候选人推荐评选工作的通知》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b w:val="0"/>
          <w:bCs/>
          <w:sz w:val="32"/>
          <w:szCs w:val="32"/>
          <w:u w:val="none"/>
        </w:rPr>
      </w:pPr>
      <w:r>
        <w:rPr>
          <w:rFonts w:hint="eastAsia" w:ascii="仿宋_GB2312" w:hAnsi="仿宋_GB2312" w:eastAsia="仿宋_GB2312" w:cs="仿宋_GB2312"/>
          <w:b w:val="0"/>
          <w:bCs/>
          <w:sz w:val="32"/>
          <w:szCs w:val="32"/>
          <w:u w:val="none"/>
        </w:rPr>
        <w:t>学校各单位：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b w:val="0"/>
          <w:bCs/>
          <w:sz w:val="32"/>
          <w:szCs w:val="32"/>
          <w:u w:val="none"/>
          <w:lang w:val="en-US" w:eastAsia="zh-CN"/>
        </w:rPr>
      </w:pPr>
      <w:r>
        <w:rPr>
          <w:rFonts w:hint="eastAsia" w:ascii="仿宋" w:hAnsi="仿宋" w:eastAsia="仿宋" w:cs="仿宋"/>
          <w:b w:val="0"/>
          <w:bCs/>
          <w:sz w:val="32"/>
          <w:szCs w:val="32"/>
          <w:u w:val="none"/>
          <w:lang w:val="en-US" w:eastAsia="zh-CN"/>
        </w:rPr>
        <w:t>现将《中共福建省委组织部 福建省科学技术协会 福建省人力资源和社会保障厅 福建省科技厅关于做好第十五届福建青年科技奖候选人推荐评选工作的通知》转发给你们，请</w:t>
      </w:r>
      <w:r>
        <w:rPr>
          <w:rFonts w:hint="eastAsia" w:ascii="仿宋" w:hAnsi="仿宋" w:eastAsia="仿宋" w:cs="仿宋"/>
          <w:b w:val="0"/>
          <w:bCs/>
          <w:color w:val="auto"/>
          <w:sz w:val="32"/>
          <w:szCs w:val="32"/>
          <w:u w:val="none"/>
          <w:lang w:val="en-US" w:eastAsia="zh-CN"/>
        </w:rPr>
        <w:t>各学院</w:t>
      </w:r>
      <w:r>
        <w:rPr>
          <w:rFonts w:hint="eastAsia" w:ascii="仿宋" w:hAnsi="仿宋" w:eastAsia="仿宋" w:cs="仿宋"/>
          <w:b w:val="0"/>
          <w:bCs/>
          <w:sz w:val="32"/>
          <w:szCs w:val="32"/>
          <w:u w:val="none"/>
          <w:lang w:val="en-US" w:eastAsia="zh-CN"/>
        </w:rPr>
        <w:t>积极组织申报。</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一、候选人应具备的条件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（一）拥护党的路线、方针、政策，热爱祖国，遵纪守法；德学双馨，具有献身科学、求实创新、勇攀高峰的精神，学风正派。</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（二）符合以下条件之一：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1.在自然科学研究领域取得重要的、创新性的成就和突出贡献；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2.在工程技术方面取得重大的、创新性的成果和作出突出贡献，并有显著应用成效；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3.在科学技术普及、科技成果推广转化、科技管理工作中取得突出成绩，产生显著的社会效益或经济效益。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（三）中华人民共和国公民，且全职在闽工作满1年及以上。男性候选人不超过40周岁（1979年1月1日及以后出生），女性候选人不超过45周岁（1974年1月1日及以后出生）。</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二、推荐形式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一）各设区市党委组织部、市科协、市人社局、市科技局，平潭综合实验区党工委党群工作部、区科协、区社会事业局负责本地区人选的推荐工作。由被推荐人所在单位提出明确推荐意见，经设区市党委组织部、市科协、市人社局、市科技局，平潭综合实验区党工委党群工作部、区科协、区社会事业局审核同意后推荐报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（二）省</w:t>
      </w:r>
      <w:bookmarkStart w:id="0" w:name="_GoBack"/>
      <w:bookmarkEnd w:id="0"/>
      <w:r>
        <w:rPr>
          <w:rFonts w:hint="eastAsia" w:ascii="仿宋" w:hAnsi="仿宋" w:eastAsia="仿宋" w:cs="仿宋"/>
          <w:b w:val="0"/>
          <w:bCs/>
          <w:sz w:val="32"/>
          <w:szCs w:val="32"/>
          <w:u w:val="none"/>
          <w:lang w:val="en-US" w:eastAsia="zh-CN"/>
        </w:rPr>
        <w:t>级学会（协会、研究会）负责本学科领域人选的推荐工作。由被推荐人所在单位提出明确推荐意见，经学会（协会、研究会）理事会（常务理事会）审核同意后推荐报送。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（三）省直有关部门（单位）、中直单位驻闽机构、各本科院校分别负责本系统（行业、单位）人选的推荐工作。由被推荐人所在单位提出明确推荐意见，经主管部门（推荐单位）审核同意后推荐报送。</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三、推荐名额和表彰人数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bCs w:val="0"/>
          <w:color w:val="FF0000"/>
          <w:sz w:val="32"/>
          <w:szCs w:val="32"/>
          <w:u w:val="none"/>
          <w:lang w:val="en-US" w:eastAsia="zh-CN"/>
        </w:rPr>
      </w:pPr>
      <w:r>
        <w:rPr>
          <w:rFonts w:hint="eastAsia" w:ascii="仿宋" w:hAnsi="仿宋" w:eastAsia="仿宋" w:cs="仿宋"/>
          <w:b w:val="0"/>
          <w:bCs/>
          <w:sz w:val="32"/>
          <w:szCs w:val="32"/>
          <w:u w:val="none"/>
          <w:lang w:val="en-US" w:eastAsia="zh-CN"/>
        </w:rPr>
        <w:t>各设区市可推荐本地区人选2名，平潭综合实验区可推荐本地区人选1名；各省级学会（协会、研究会），省直有关部门（单位）、中直单位驻闽机构、</w:t>
      </w:r>
      <w:r>
        <w:rPr>
          <w:rFonts w:hint="eastAsia" w:ascii="仿宋" w:hAnsi="仿宋" w:eastAsia="仿宋" w:cs="仿宋"/>
          <w:b/>
          <w:bCs w:val="0"/>
          <w:color w:val="FF0000"/>
          <w:sz w:val="32"/>
          <w:szCs w:val="32"/>
          <w:u w:val="none"/>
          <w:lang w:val="en-US" w:eastAsia="zh-CN"/>
        </w:rPr>
        <w:t>各本科院校推荐本系统（行业、单位）人选1至2名。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本届拟表彰30名，往届获奖者不重复推荐和授奖。</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四、评审表彰程序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一）省委组织部、省科协、省人社厅、省科技厅共同成立评选工作领导小组，决定评选奖励工作有关事项，审定评选结果。评选工作领导小组下设办公室，成员由省委组织部、省科协、省人社厅、省科技厅有关责任处室负责人组成，办事机构设在省科协组织人事部，负责受理推荐、资格审查、组织评审、安排颁奖和其它日常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（二）评选工作领导小组根据实际组建专家评审组，负责开展评选工作。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（三）评选工作领导小组对专家评审组评审结果进行审核议定，经向社会公示5个工作者日，无异议后予以确定。</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（四）省委组织部、省科协、省人社厅、省科技厅共同发布表彰决定，对获奖者予以表彰。</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五、推荐工作要求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（一）坚持“公开、公正、公平、择优”原则，拓宽推荐渠道，严格推荐条件，保证推荐质量。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（二）人选推荐要注重向长期工作在科研与生产第一线的优秀青年科技工作者倾斜，要注意推荐在非公有制经济组织工作的优秀青年科技工作者。</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（三）被推荐人的科技成果应以在国内作出的成果为主，被推荐人应为主要完成人或主要贡献者。</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（四）被推荐人的推荐材料是福建青年科技奖评审的主要依据，应简明扼要，要重点突出被推荐人的创新性成就和贡献。电子版材料与纸质材料应保持一致，非学术性报纸刊物的有关报道不作为佐证材料。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五）推荐单位和被推荐人要自觉恪守科学道德和学术规范，推荐材料要客观、准确、完整。对于推荐材料填报不实的，实行“一票否决”。如候选人被投诉，推荐单位及被推荐人所在单位应进行调查核实并提供书面调查材料和结论性意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（六）被推荐人推荐材料不得涉及国家秘密，并由被推荐人所在单位出具推荐材料非涉密的保密审查证明。材料违反保密规定的，取消被推荐资格。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（七）各推荐单位需将推荐对象的基本情况和简要事迹在本地区、本学会及其所在单位进行公示，公示期5个工作日，接受社会监督。</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六、推荐材料报送要求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（一）书面材料报送内容</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1.推荐单位工作报告2份，内容包括推荐工作程序、被推荐人人数、评审情况等。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2.《福建青年科技奖推荐评审表》一式7份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3．福建青年科技奖推荐人选简介一式3份（500字以内）；</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4.有关附件材料2份（装订成册）。包括：</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（1）公开发表的主要论文及专著（论文限3篇、专著限1部）；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（2）主要科技成果目录；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（3）被他人引用的论文、专著证明材料；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（4）技术鉴定证书及知识产权证明材料；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（5）技术应用证明材料；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（6）获表彰奖励证明材料；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（7）其它材料。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请各单位于2019年10月25日 前将被推荐人书面推荐材料，报送至科研处，逾期不予受理。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附件：1.第十五届福建青年科技奖推荐评审表</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1600" w:firstLineChars="5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福建青年科技奖推荐人选简介（样本）</w:t>
      </w:r>
    </w:p>
    <w:p>
      <w:pPr>
        <w:keepNext w:val="0"/>
        <w:keepLines w:val="0"/>
        <w:pageBreakBefore w:val="0"/>
        <w:widowControl w:val="0"/>
        <w:numPr>
          <w:numId w:val="0"/>
        </w:numPr>
        <w:kinsoku/>
        <w:wordWrap/>
        <w:overflowPunct/>
        <w:topLinePunct w:val="0"/>
        <w:autoSpaceDE/>
        <w:autoSpaceDN/>
        <w:bidi w:val="0"/>
        <w:adjustRightInd/>
        <w:snapToGrid/>
        <w:spacing w:line="540" w:lineRule="exact"/>
        <w:textAlignment w:val="auto"/>
        <w:rPr>
          <w:rFonts w:hint="eastAsia" w:ascii="仿宋" w:hAnsi="仿宋" w:eastAsia="仿宋" w:cs="仿宋"/>
          <w:b w:val="0"/>
          <w:bCs/>
          <w:sz w:val="32"/>
          <w:szCs w:val="32"/>
          <w:u w:val="none"/>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540" w:lineRule="exact"/>
        <w:textAlignment w:val="auto"/>
        <w:rPr>
          <w:rFonts w:hint="eastAsia" w:ascii="仿宋" w:hAnsi="仿宋" w:eastAsia="仿宋" w:cs="仿宋"/>
          <w:b w:val="0"/>
          <w:bCs/>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4000" w:firstLineChars="1250"/>
        <w:jc w:val="center"/>
        <w:textAlignment w:val="auto"/>
        <w:rPr>
          <w:rFonts w:hint="eastAsia" w:ascii="仿宋_GB2312" w:hAnsi="仿宋_GB2312" w:eastAsia="仿宋_GB2312" w:cs="仿宋_GB2312"/>
          <w:b w:val="0"/>
          <w:bCs/>
          <w:sz w:val="32"/>
          <w:szCs w:val="32"/>
          <w:u w:val="none"/>
        </w:rPr>
      </w:pPr>
      <w:r>
        <w:rPr>
          <w:rFonts w:hint="eastAsia" w:ascii="仿宋_GB2312" w:hAnsi="仿宋_GB2312" w:eastAsia="仿宋_GB2312" w:cs="仿宋_GB2312"/>
          <w:b w:val="0"/>
          <w:bCs/>
          <w:sz w:val="32"/>
          <w:szCs w:val="32"/>
          <w:u w:val="none"/>
          <w:lang w:val="en-US" w:eastAsia="zh-CN"/>
        </w:rPr>
        <w:t xml:space="preserve">                  </w:t>
      </w:r>
      <w:r>
        <w:rPr>
          <w:rFonts w:hint="eastAsia" w:ascii="仿宋_GB2312" w:hAnsi="仿宋_GB2312" w:eastAsia="仿宋_GB2312" w:cs="仿宋_GB2312"/>
          <w:b w:val="0"/>
          <w:bCs/>
          <w:sz w:val="32"/>
          <w:szCs w:val="32"/>
          <w:u w:val="none"/>
        </w:rPr>
        <w:t>科研处</w:t>
      </w:r>
    </w:p>
    <w:p>
      <w:pPr>
        <w:keepNext w:val="0"/>
        <w:keepLines w:val="0"/>
        <w:pageBreakBefore w:val="0"/>
        <w:widowControl w:val="0"/>
        <w:kinsoku/>
        <w:wordWrap/>
        <w:overflowPunct/>
        <w:topLinePunct w:val="0"/>
        <w:autoSpaceDE/>
        <w:autoSpaceDN/>
        <w:bidi w:val="0"/>
        <w:adjustRightInd/>
        <w:snapToGrid/>
        <w:spacing w:line="540" w:lineRule="exact"/>
        <w:ind w:firstLine="6880" w:firstLineChars="2150"/>
        <w:textAlignment w:val="auto"/>
        <w:rPr>
          <w:rFonts w:hint="eastAsia" w:ascii="仿宋_GB2312" w:hAnsi="仿宋_GB2312" w:eastAsia="仿宋_GB2312" w:cs="仿宋_GB2312"/>
          <w:b w:val="0"/>
          <w:bCs/>
          <w:sz w:val="32"/>
          <w:szCs w:val="32"/>
          <w:u w:val="none"/>
        </w:rPr>
      </w:pPr>
      <w:r>
        <w:rPr>
          <w:rFonts w:hint="eastAsia" w:ascii="仿宋_GB2312" w:hAnsi="仿宋_GB2312" w:eastAsia="仿宋_GB2312" w:cs="仿宋_GB2312"/>
          <w:b w:val="0"/>
          <w:bCs/>
          <w:sz w:val="32"/>
          <w:szCs w:val="32"/>
          <w:u w:val="none"/>
        </w:rPr>
        <w:t>2019年</w:t>
      </w:r>
      <w:r>
        <w:rPr>
          <w:rFonts w:hint="eastAsia" w:ascii="仿宋_GB2312" w:hAnsi="仿宋_GB2312" w:eastAsia="仿宋_GB2312" w:cs="仿宋_GB2312"/>
          <w:b w:val="0"/>
          <w:bCs/>
          <w:sz w:val="32"/>
          <w:szCs w:val="32"/>
          <w:u w:val="none"/>
          <w:lang w:val="en-US" w:eastAsia="zh-CN"/>
        </w:rPr>
        <w:t>10</w:t>
      </w:r>
      <w:r>
        <w:rPr>
          <w:rFonts w:hint="eastAsia" w:ascii="仿宋_GB2312" w:hAnsi="仿宋_GB2312" w:eastAsia="仿宋_GB2312" w:cs="仿宋_GB2312"/>
          <w:b w:val="0"/>
          <w:bCs/>
          <w:sz w:val="32"/>
          <w:szCs w:val="32"/>
          <w:u w:val="none"/>
        </w:rPr>
        <w:t>月</w:t>
      </w:r>
      <w:r>
        <w:rPr>
          <w:rFonts w:hint="eastAsia" w:ascii="仿宋_GB2312" w:hAnsi="仿宋_GB2312" w:eastAsia="仿宋_GB2312" w:cs="仿宋_GB2312"/>
          <w:b w:val="0"/>
          <w:bCs/>
          <w:sz w:val="32"/>
          <w:szCs w:val="32"/>
          <w:u w:val="none"/>
          <w:lang w:val="en-US" w:eastAsia="zh-CN"/>
        </w:rPr>
        <w:t>14</w:t>
      </w:r>
      <w:r>
        <w:rPr>
          <w:rFonts w:hint="eastAsia" w:ascii="仿宋_GB2312" w:hAnsi="仿宋_GB2312" w:eastAsia="仿宋_GB2312" w:cs="仿宋_GB2312"/>
          <w:b w:val="0"/>
          <w:bCs/>
          <w:sz w:val="32"/>
          <w:szCs w:val="32"/>
          <w:u w:val="none"/>
        </w:rPr>
        <w:t>日</w:t>
      </w:r>
    </w:p>
    <w:sectPr>
      <w:pgSz w:w="11906" w:h="16838"/>
      <w:pgMar w:top="1440" w:right="1191" w:bottom="1440"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decorative"/>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1C499"/>
    <w:multiLevelType w:val="singleLevel"/>
    <w:tmpl w:val="1521C499"/>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75FA5"/>
    <w:rsid w:val="000F70EE"/>
    <w:rsid w:val="001052F2"/>
    <w:rsid w:val="001563B5"/>
    <w:rsid w:val="001668B5"/>
    <w:rsid w:val="001C1FBB"/>
    <w:rsid w:val="001E129E"/>
    <w:rsid w:val="00270416"/>
    <w:rsid w:val="004616C2"/>
    <w:rsid w:val="00476C78"/>
    <w:rsid w:val="00482DEE"/>
    <w:rsid w:val="009144A4"/>
    <w:rsid w:val="0097674F"/>
    <w:rsid w:val="009E7488"/>
    <w:rsid w:val="00A91F0F"/>
    <w:rsid w:val="00AC0794"/>
    <w:rsid w:val="00B12FB2"/>
    <w:rsid w:val="00B81B9C"/>
    <w:rsid w:val="00BF484B"/>
    <w:rsid w:val="00D473DE"/>
    <w:rsid w:val="00E9742C"/>
    <w:rsid w:val="00FC7C12"/>
    <w:rsid w:val="01F367C1"/>
    <w:rsid w:val="030B3283"/>
    <w:rsid w:val="03D43972"/>
    <w:rsid w:val="048D31D6"/>
    <w:rsid w:val="050D4891"/>
    <w:rsid w:val="073C45EB"/>
    <w:rsid w:val="08E22C5D"/>
    <w:rsid w:val="0A2E11DB"/>
    <w:rsid w:val="0BA37074"/>
    <w:rsid w:val="0C1C05AF"/>
    <w:rsid w:val="0D2B4D37"/>
    <w:rsid w:val="0E7679E7"/>
    <w:rsid w:val="0F8D4BF9"/>
    <w:rsid w:val="103A04D4"/>
    <w:rsid w:val="112615D9"/>
    <w:rsid w:val="127C68B7"/>
    <w:rsid w:val="15F70849"/>
    <w:rsid w:val="174175AE"/>
    <w:rsid w:val="17B55E1A"/>
    <w:rsid w:val="1A0152BD"/>
    <w:rsid w:val="1B066D05"/>
    <w:rsid w:val="1E5862AE"/>
    <w:rsid w:val="1F144452"/>
    <w:rsid w:val="21E1726B"/>
    <w:rsid w:val="225A2216"/>
    <w:rsid w:val="240019AE"/>
    <w:rsid w:val="24B22DBA"/>
    <w:rsid w:val="27364C5F"/>
    <w:rsid w:val="28285506"/>
    <w:rsid w:val="28630011"/>
    <w:rsid w:val="287F02FD"/>
    <w:rsid w:val="2BF85B9E"/>
    <w:rsid w:val="2D487529"/>
    <w:rsid w:val="2E065667"/>
    <w:rsid w:val="2E5A5BE7"/>
    <w:rsid w:val="2F90750B"/>
    <w:rsid w:val="35161428"/>
    <w:rsid w:val="398E7BC9"/>
    <w:rsid w:val="39C33ACF"/>
    <w:rsid w:val="3A691882"/>
    <w:rsid w:val="3B311BF9"/>
    <w:rsid w:val="3BEE1909"/>
    <w:rsid w:val="3C784EC2"/>
    <w:rsid w:val="3C985FCB"/>
    <w:rsid w:val="3CB33245"/>
    <w:rsid w:val="3D402DE4"/>
    <w:rsid w:val="3F030BE5"/>
    <w:rsid w:val="40765DAC"/>
    <w:rsid w:val="40C3098F"/>
    <w:rsid w:val="42A30AD3"/>
    <w:rsid w:val="43E76CCC"/>
    <w:rsid w:val="4506646B"/>
    <w:rsid w:val="45A36261"/>
    <w:rsid w:val="48F55420"/>
    <w:rsid w:val="4ACC15DE"/>
    <w:rsid w:val="4AE26879"/>
    <w:rsid w:val="4B58006B"/>
    <w:rsid w:val="4E433138"/>
    <w:rsid w:val="4FB9461C"/>
    <w:rsid w:val="50526349"/>
    <w:rsid w:val="50DC3D40"/>
    <w:rsid w:val="510C1731"/>
    <w:rsid w:val="52352F67"/>
    <w:rsid w:val="54460DE4"/>
    <w:rsid w:val="56B608B6"/>
    <w:rsid w:val="57135E4A"/>
    <w:rsid w:val="595D6430"/>
    <w:rsid w:val="5B1607DE"/>
    <w:rsid w:val="5B587F1B"/>
    <w:rsid w:val="5CE65A6A"/>
    <w:rsid w:val="5DE418E1"/>
    <w:rsid w:val="5ED61106"/>
    <w:rsid w:val="613A1CC6"/>
    <w:rsid w:val="61963E99"/>
    <w:rsid w:val="64574D14"/>
    <w:rsid w:val="664C32EB"/>
    <w:rsid w:val="6696605F"/>
    <w:rsid w:val="66CC5D14"/>
    <w:rsid w:val="685B3941"/>
    <w:rsid w:val="68E15C37"/>
    <w:rsid w:val="69697E71"/>
    <w:rsid w:val="6B317A7A"/>
    <w:rsid w:val="6B6F704A"/>
    <w:rsid w:val="6C40196F"/>
    <w:rsid w:val="6D1F6713"/>
    <w:rsid w:val="6D691309"/>
    <w:rsid w:val="6D957117"/>
    <w:rsid w:val="6E5C060E"/>
    <w:rsid w:val="6EBD3932"/>
    <w:rsid w:val="70375FA5"/>
    <w:rsid w:val="70B02DD9"/>
    <w:rsid w:val="71813C8F"/>
    <w:rsid w:val="71A77B00"/>
    <w:rsid w:val="72BE6D8B"/>
    <w:rsid w:val="73760E54"/>
    <w:rsid w:val="791C7412"/>
    <w:rsid w:val="7B175B60"/>
    <w:rsid w:val="7C4667DF"/>
    <w:rsid w:val="7D4758E1"/>
    <w:rsid w:val="7DA804CA"/>
    <w:rsid w:val="7EAD6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6"/>
      <w:szCs w:val="36"/>
      <w:u w:val="single"/>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kern w:val="44"/>
      <w:sz w:val="48"/>
      <w:szCs w:val="48"/>
      <w:lang w:val="en-US" w:eastAsia="zh-CN" w:bidi="ar"/>
    </w:rPr>
  </w:style>
  <w:style w:type="character" w:default="1" w:styleId="7">
    <w:name w:val="Default Paragraph Font"/>
    <w:link w:val="8"/>
    <w:semiHidden/>
    <w:unhideWhenUsed/>
    <w:qFormat/>
    <w:uiPriority w:val="1"/>
    <w:rPr>
      <w:rFonts w:ascii="Tahoma" w:hAnsi="Tahoma"/>
      <w:sz w:val="24"/>
      <w:szCs w:val="20"/>
    </w:rPr>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8">
    <w:name w:val=" Char Char2"/>
    <w:basedOn w:val="1"/>
    <w:link w:val="7"/>
    <w:qFormat/>
    <w:uiPriority w:val="0"/>
    <w:rPr>
      <w:rFonts w:ascii="Tahoma" w:hAnsi="Tahoma"/>
      <w:sz w:val="24"/>
      <w:szCs w:val="20"/>
    </w:rPr>
  </w:style>
  <w:style w:type="character" w:styleId="9">
    <w:name w:val="Strong"/>
    <w:basedOn w:val="7"/>
    <w:qFormat/>
    <w:uiPriority w:val="22"/>
    <w:rPr>
      <w:b/>
    </w:rPr>
  </w:style>
  <w:style w:type="character" w:styleId="10">
    <w:name w:val="page number"/>
    <w:basedOn w:val="7"/>
    <w:qFormat/>
    <w:uiPriority w:val="0"/>
  </w:style>
  <w:style w:type="character" w:styleId="11">
    <w:name w:val="FollowedHyperlink"/>
    <w:basedOn w:val="7"/>
    <w:qFormat/>
    <w:uiPriority w:val="0"/>
    <w:rPr>
      <w:color w:val="800080"/>
      <w:u w:val="none"/>
    </w:rPr>
  </w:style>
  <w:style w:type="character" w:styleId="12">
    <w:name w:val="Hyperlink"/>
    <w:basedOn w:val="7"/>
    <w:qFormat/>
    <w:uiPriority w:val="0"/>
    <w:rPr>
      <w:color w:val="0000FF"/>
      <w:u w:val="single"/>
    </w:rPr>
  </w:style>
  <w:style w:type="character" w:customStyle="1" w:styleId="13">
    <w:name w:val="页眉 Char"/>
    <w:basedOn w:val="7"/>
    <w:link w:val="4"/>
    <w:qFormat/>
    <w:uiPriority w:val="0"/>
    <w:rPr>
      <w:rFonts w:asciiTheme="minorHAnsi" w:hAnsiTheme="minorHAnsi" w:eastAsiaTheme="minorEastAsia" w:cstheme="minorBidi"/>
      <w:b/>
      <w:kern w:val="2"/>
      <w:sz w:val="18"/>
      <w:szCs w:val="18"/>
      <w:u w:val="single"/>
    </w:rPr>
  </w:style>
  <w:style w:type="character" w:customStyle="1" w:styleId="14">
    <w:name w:val="页脚 Char"/>
    <w:basedOn w:val="7"/>
    <w:link w:val="3"/>
    <w:qFormat/>
    <w:uiPriority w:val="0"/>
    <w:rPr>
      <w:rFonts w:asciiTheme="minorHAnsi" w:hAnsiTheme="minorHAnsi" w:eastAsiaTheme="minorEastAsia" w:cstheme="minorBidi"/>
      <w:b/>
      <w:kern w:val="2"/>
      <w:sz w:val="18"/>
      <w:szCs w:val="18"/>
      <w:u w:val="single"/>
    </w:rPr>
  </w:style>
  <w:style w:type="character" w:customStyle="1" w:styleId="15">
    <w:name w:val="hover17"/>
    <w:basedOn w:val="7"/>
    <w:qFormat/>
    <w:uiPriority w:val="0"/>
    <w:rPr>
      <w:color w:val="557EE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52</Words>
  <Characters>303</Characters>
  <Lines>2</Lines>
  <Paragraphs>1</Paragraphs>
  <TotalTime>18</TotalTime>
  <ScaleCrop>false</ScaleCrop>
  <LinksUpToDate>false</LinksUpToDate>
  <CharactersWithSpaces>354</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2018-12-19T08:01:00Z</dcterms:created>
  <dc:creator>青花</dc:creator>
  <cp:lastModifiedBy>小平盖</cp:lastModifiedBy>
  <cp:lastPrinted>2018-12-26T19:59:00Z</cp:lastPrinted>
  <dcterms:modified xsi:type="dcterms:W3CDTF">2019-10-14T02:31:54Z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