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804" w:type="dxa"/>
        <w:jc w:val="center"/>
        <w:tblInd w:w="-1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680"/>
        <w:gridCol w:w="900"/>
        <w:gridCol w:w="1665"/>
        <w:gridCol w:w="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48" w:hRule="atLeast"/>
          <w:jc w:val="center"/>
        </w:trPr>
        <w:tc>
          <w:tcPr>
            <w:tcW w:w="6680" w:type="dxa"/>
            <w:tcBorders>
              <w:tl2br w:val="nil"/>
              <w:tr2bl w:val="nil"/>
            </w:tcBorders>
            <w:shd w:val="clear" w:color="auto" w:fill="auto"/>
            <w:vAlign w:val="center"/>
          </w:tcPr>
          <w:p>
            <w:pPr>
              <w:widowControl/>
              <w:jc w:val="center"/>
              <w:textAlignment w:val="center"/>
              <w:rPr>
                <w:rFonts w:ascii="Times New Roman" w:hAnsi="Times New Roman" w:eastAsia="方正小标宋简体" w:cs="Times New Roman"/>
                <w:color w:val="FF0000"/>
                <w:sz w:val="72"/>
                <w:szCs w:val="72"/>
                <w:u w:val="none"/>
              </w:rPr>
            </w:pPr>
            <w:r>
              <w:rPr>
                <w:rFonts w:hint="eastAsia" w:asciiTheme="minorEastAsia" w:hAnsiTheme="minorEastAsia" w:cstheme="minorEastAsia"/>
                <w:color w:val="FF0000"/>
                <w:w w:val="66"/>
                <w:sz w:val="120"/>
                <w:szCs w:val="120"/>
                <w:u w:val="none"/>
              </w:rPr>
              <w:t>泉州职业技术大学</w:t>
            </w:r>
          </w:p>
        </w:tc>
        <w:tc>
          <w:tcPr>
            <w:tcW w:w="900" w:type="dxa"/>
            <w:tcBorders>
              <w:tl2br w:val="nil"/>
              <w:tr2bl w:val="nil"/>
            </w:tcBorders>
            <w:shd w:val="clear" w:color="auto" w:fill="auto"/>
            <w:vAlign w:val="center"/>
          </w:tcPr>
          <w:p>
            <w:pPr>
              <w:widowControl/>
              <w:jc w:val="left"/>
              <w:textAlignment w:val="center"/>
              <w:rPr>
                <w:rFonts w:ascii="Times New Roman" w:hAnsi="Times New Roman" w:eastAsia="宋体" w:cs="Times New Roman"/>
                <w:color w:val="FF0000"/>
                <w:sz w:val="72"/>
                <w:szCs w:val="72"/>
                <w:u w:val="none"/>
              </w:rPr>
            </w:pPr>
            <w:r>
              <w:rPr>
                <w:rFonts w:ascii="Times New Roman" w:hAnsi="Times New Roman" w:eastAsia="宋体" w:cs="Times New Roman"/>
                <w:color w:val="FF0000"/>
                <w:kern w:val="0"/>
                <w:sz w:val="96"/>
                <w:szCs w:val="96"/>
                <w:u w:val="none"/>
                <w:lang w:bidi="ar"/>
              </w:rPr>
              <w:t>（</w:t>
            </w:r>
          </w:p>
        </w:tc>
        <w:tc>
          <w:tcPr>
            <w:tcW w:w="1665" w:type="dxa"/>
            <w:tcBorders>
              <w:tl2br w:val="nil"/>
              <w:tr2bl w:val="nil"/>
            </w:tcBorders>
            <w:shd w:val="clear" w:color="auto" w:fill="auto"/>
            <w:vAlign w:val="center"/>
          </w:tcPr>
          <w:p>
            <w:pPr>
              <w:widowControl/>
              <w:spacing w:line="400" w:lineRule="exact"/>
              <w:jc w:val="center"/>
              <w:textAlignment w:val="bottom"/>
              <w:rPr>
                <w:rFonts w:ascii="Times New Roman" w:hAnsi="Times New Roman" w:eastAsia="新宋体" w:cs="Times New Roman"/>
                <w:color w:val="000000"/>
                <w:kern w:val="0"/>
                <w:sz w:val="32"/>
                <w:szCs w:val="32"/>
                <w:u w:val="none"/>
                <w:lang w:bidi="ar"/>
              </w:rPr>
            </w:pPr>
            <w:r>
              <w:rPr>
                <w:rFonts w:hint="eastAsia" w:ascii="Times New Roman" w:hAnsi="Times New Roman" w:eastAsia="新宋体" w:cs="Times New Roman"/>
                <w:color w:val="000000"/>
                <w:kern w:val="0"/>
                <w:sz w:val="32"/>
                <w:szCs w:val="32"/>
                <w:u w:val="none"/>
                <w:lang w:bidi="ar"/>
              </w:rPr>
              <w:t>科研处</w:t>
            </w:r>
          </w:p>
          <w:p>
            <w:pPr>
              <w:widowControl/>
              <w:spacing w:line="400" w:lineRule="exact"/>
              <w:jc w:val="center"/>
              <w:textAlignment w:val="top"/>
              <w:rPr>
                <w:rFonts w:ascii="Times New Roman" w:hAnsi="Times New Roman" w:eastAsia="新宋体" w:cs="Times New Roman"/>
                <w:color w:val="000000"/>
                <w:sz w:val="32"/>
                <w:szCs w:val="32"/>
                <w:u w:val="none"/>
              </w:rPr>
            </w:pPr>
            <w:r>
              <w:rPr>
                <w:rFonts w:ascii="Times New Roman" w:hAnsi="Times New Roman" w:eastAsia="新宋体" w:cs="Times New Roman"/>
                <w:color w:val="000000"/>
                <w:kern w:val="0"/>
                <w:sz w:val="32"/>
                <w:szCs w:val="32"/>
                <w:u w:val="none"/>
                <w:lang w:bidi="ar"/>
              </w:rPr>
              <w:t>通</w:t>
            </w:r>
            <w:r>
              <w:rPr>
                <w:rFonts w:hint="eastAsia" w:ascii="Times New Roman" w:hAnsi="Times New Roman" w:eastAsia="新宋体" w:cs="Times New Roman"/>
                <w:color w:val="000000"/>
                <w:kern w:val="0"/>
                <w:sz w:val="32"/>
                <w:szCs w:val="32"/>
                <w:u w:val="none"/>
                <w:lang w:bidi="ar"/>
              </w:rPr>
              <w:t xml:space="preserve">  </w:t>
            </w:r>
            <w:r>
              <w:rPr>
                <w:rFonts w:ascii="Times New Roman" w:hAnsi="Times New Roman" w:eastAsia="新宋体" w:cs="Times New Roman"/>
                <w:color w:val="000000"/>
                <w:kern w:val="0"/>
                <w:sz w:val="32"/>
                <w:szCs w:val="32"/>
                <w:u w:val="none"/>
                <w:lang w:bidi="ar"/>
              </w:rPr>
              <w:t>知</w:t>
            </w:r>
          </w:p>
        </w:tc>
        <w:tc>
          <w:tcPr>
            <w:tcW w:w="559" w:type="dxa"/>
            <w:tcBorders>
              <w:tl2br w:val="nil"/>
              <w:tr2bl w:val="nil"/>
            </w:tcBorders>
            <w:shd w:val="clear" w:color="auto" w:fill="auto"/>
            <w:vAlign w:val="center"/>
          </w:tcPr>
          <w:p>
            <w:pPr>
              <w:widowControl/>
              <w:jc w:val="center"/>
              <w:textAlignment w:val="center"/>
              <w:rPr>
                <w:rFonts w:ascii="Times New Roman" w:hAnsi="Times New Roman" w:eastAsia="宋体" w:cs="Times New Roman"/>
                <w:color w:val="FF0000"/>
                <w:sz w:val="72"/>
                <w:szCs w:val="72"/>
                <w:u w:val="none"/>
              </w:rPr>
            </w:pPr>
            <w:r>
              <w:rPr>
                <w:rFonts w:ascii="Times New Roman" w:hAnsi="Times New Roman" w:eastAsia="宋体" w:cs="Times New Roman"/>
                <w:color w:val="FF0000"/>
                <w:kern w:val="0"/>
                <w:sz w:val="96"/>
                <w:szCs w:val="96"/>
                <w:u w:val="none"/>
                <w:lang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0" w:hRule="atLeast"/>
          <w:jc w:val="center"/>
        </w:trPr>
        <w:tc>
          <w:tcPr>
            <w:tcW w:w="9804" w:type="dxa"/>
            <w:gridSpan w:val="4"/>
            <w:tcBorders>
              <w:tl2br w:val="nil"/>
              <w:tr2bl w:val="nil"/>
            </w:tcBorders>
            <w:shd w:val="clear" w:color="auto" w:fill="auto"/>
            <w:vAlign w:val="center"/>
          </w:tcPr>
          <w:p>
            <w:pPr>
              <w:widowControl/>
              <w:jc w:val="center"/>
              <w:textAlignment w:val="center"/>
              <w:rPr>
                <w:rFonts w:ascii="Times New Roman" w:hAnsi="Times New Roman" w:eastAsia="宋体" w:cs="Times New Roman"/>
                <w:color w:val="000000"/>
                <w:sz w:val="22"/>
                <w:szCs w:val="22"/>
                <w:u w:val="none"/>
              </w:rPr>
            </w:pPr>
            <w:r>
              <w:rPr>
                <w:rFonts w:hint="eastAsia" w:ascii="仿宋" w:hAnsi="仿宋" w:eastAsia="仿宋" w:cs="仿宋"/>
                <w:b w:val="0"/>
                <w:bCs/>
                <w:color w:val="000000"/>
                <w:kern w:val="0"/>
                <w:sz w:val="32"/>
                <w:szCs w:val="32"/>
                <w:u w:val="none"/>
                <w:lang w:bidi="ar"/>
              </w:rPr>
              <w:t>(2019)科3</w:t>
            </w:r>
            <w:r>
              <w:rPr>
                <w:rFonts w:hint="eastAsia" w:ascii="仿宋" w:hAnsi="仿宋" w:eastAsia="仿宋" w:cs="仿宋"/>
                <w:b w:val="0"/>
                <w:bCs/>
                <w:color w:val="000000"/>
                <w:kern w:val="0"/>
                <w:sz w:val="32"/>
                <w:szCs w:val="32"/>
                <w:u w:val="none"/>
                <w:lang w:val="en-US" w:eastAsia="zh-CN" w:bidi="ar"/>
              </w:rPr>
              <w:t>6</w:t>
            </w:r>
            <w:r>
              <w:rPr>
                <w:rFonts w:hint="eastAsia" w:ascii="仿宋" w:hAnsi="仿宋" w:eastAsia="仿宋" w:cs="仿宋"/>
                <w:b w:val="0"/>
                <w:bCs/>
                <w:color w:val="000000"/>
                <w:kern w:val="0"/>
                <w:sz w:val="32"/>
                <w:szCs w:val="32"/>
                <w:u w:val="none"/>
                <w:lang w:bidi="ar"/>
              </w:rPr>
              <w:t>号</w:t>
            </w:r>
          </w:p>
        </w:tc>
      </w:tr>
    </w:tbl>
    <w:p>
      <w:pPr>
        <w:pStyle w:val="2"/>
        <w:widowControl/>
        <w:shd w:val="clear" w:color="auto" w:fill="FFFFFF"/>
        <w:spacing w:before="468" w:beforeLines="150" w:beforeAutospacing="0" w:afterAutospacing="0" w:line="560" w:lineRule="exact"/>
        <w:jc w:val="center"/>
        <w:rPr>
          <w:rFonts w:hint="eastAsia" w:ascii="方正小标宋简体" w:eastAsia="方正小标宋简体"/>
          <w:b w:val="0"/>
          <w:kern w:val="2"/>
          <w:sz w:val="44"/>
          <w:szCs w:val="44"/>
          <w:u w:val="none"/>
        </w:rPr>
      </w:pPr>
      <w:r>
        <w:rPr>
          <w:rFonts w:ascii="方正小标宋简体" w:eastAsia="方正小标宋简体"/>
          <w:b w:val="0"/>
          <w:kern w:val="2"/>
          <w:sz w:val="44"/>
          <w:szCs w:val="44"/>
          <w:u w:val="none"/>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8890</wp:posOffset>
                </wp:positionV>
                <wp:extent cx="6193790" cy="8890"/>
                <wp:effectExtent l="0" t="4445" r="16510" b="24765"/>
                <wp:wrapNone/>
                <wp:docPr id="3" name="直接连接符 3"/>
                <wp:cNvGraphicFramePr/>
                <a:graphic xmlns:a="http://schemas.openxmlformats.org/drawingml/2006/main">
                  <a:graphicData uri="http://schemas.microsoft.com/office/word/2010/wordprocessingShape">
                    <wps:wsp>
                      <wps:cNvCnPr/>
                      <wps:spPr>
                        <a:xfrm>
                          <a:off x="756285" y="5076825"/>
                          <a:ext cx="6193790" cy="8890"/>
                        </a:xfrm>
                        <a:prstGeom prst="line">
                          <a:avLst/>
                        </a:prstGeom>
                        <a:ln w="47625" cmpd="sng">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0.7pt;height:0.7pt;width:487.7pt;z-index:251658240;mso-width-relative:page;mso-height-relative:page;" filled="f" stroked="t" coordsize="21600,21600" o:gfxdata="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w9gORNQAAAAEAQAADwAAAAAAAAAB&#10;ACAAAAAiAAAAZHJzL2Rvd25yZXYueG1sUEsBAhQAFAAAAAgAh07iQNbEcifbAQAAcgMAAA4AAAAA&#10;AAAAAQAgAAAAIwEAAGRycy9lMm9Eb2MueG1sUEsFBgAAAAAGAAYAWQEAAHAFAAAAAA==&#10;">
                <v:fill on="f" focussize="0,0"/>
                <v:stroke weight="3.75pt" color="#FF0000 [3204]" miterlimit="8" joinstyle="miter"/>
                <v:imagedata o:title=""/>
                <o:lock v:ext="edit" aspectratio="f"/>
              </v:line>
            </w:pict>
          </mc:Fallback>
        </mc:AlternateContent>
      </w:r>
      <w:r>
        <w:rPr>
          <w:rFonts w:ascii="方正小标宋简体" w:eastAsia="方正小标宋简体"/>
          <w:b w:val="0"/>
          <w:kern w:val="2"/>
          <w:sz w:val="44"/>
          <w:szCs w:val="44"/>
          <w:u w:val="none"/>
        </w:rPr>
        <w:t>关于转发中国科协办公厅科技部办公厅关于举办2019年中国创新方法大赛的通知</w:t>
      </w:r>
    </w:p>
    <w:p>
      <w:pPr>
        <w:pStyle w:val="2"/>
        <w:widowControl/>
        <w:shd w:val="clear" w:color="auto" w:fill="FFFFFF"/>
        <w:spacing w:before="468" w:beforeLines="150" w:beforeAutospacing="0" w:afterAutospacing="0" w:line="560" w:lineRule="exact"/>
        <w:rPr>
          <w:rFonts w:hint="default" w:ascii="仿宋" w:hAnsi="仿宋" w:eastAsia="仿宋" w:cs="仿宋"/>
          <w:b w:val="0"/>
          <w:bCs/>
          <w:sz w:val="32"/>
          <w:szCs w:val="32"/>
          <w:u w:val="none"/>
        </w:rPr>
      </w:pPr>
      <w:r>
        <w:rPr>
          <w:rFonts w:ascii="仿宋" w:hAnsi="仿宋" w:eastAsia="仿宋" w:cs="仿宋"/>
          <w:b w:val="0"/>
          <w:bCs/>
          <w:sz w:val="32"/>
          <w:szCs w:val="32"/>
          <w:u w:val="none"/>
        </w:rPr>
        <w:t>学校各单位：</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eastAsia" w:ascii="仿宋" w:hAnsi="仿宋" w:eastAsia="仿宋" w:cs="仿宋"/>
          <w:b w:val="0"/>
          <w:bCs/>
          <w:sz w:val="32"/>
          <w:szCs w:val="32"/>
          <w:u w:val="none"/>
          <w:lang w:eastAsia="zh-CN"/>
        </w:rPr>
      </w:pPr>
      <w:r>
        <w:rPr>
          <w:rFonts w:hint="eastAsia" w:ascii="仿宋" w:hAnsi="仿宋" w:eastAsia="仿宋" w:cs="仿宋"/>
          <w:b w:val="0"/>
          <w:bCs/>
          <w:sz w:val="32"/>
          <w:szCs w:val="32"/>
          <w:u w:val="none"/>
        </w:rPr>
        <w:t>现将《中国科协办公厅科技部办公厅关于举办2019年中国创新方法大赛的通知》转发给你们，请各单位积极组织申报。</w:t>
      </w:r>
      <w:r>
        <w:rPr>
          <w:rFonts w:hint="eastAsia" w:ascii="仿宋" w:hAnsi="仿宋" w:eastAsia="仿宋" w:cs="仿宋"/>
          <w:b w:val="0"/>
          <w:bCs/>
          <w:sz w:val="32"/>
          <w:szCs w:val="32"/>
          <w:u w:val="none"/>
          <w:lang w:eastAsia="zh-CN"/>
        </w:rPr>
        <w:t>赛事安排如下：</w:t>
      </w:r>
    </w:p>
    <w:p>
      <w:pPr>
        <w:pStyle w:val="12"/>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r>
        <w:rPr>
          <w:rFonts w:hint="eastAsia" w:ascii="仿宋" w:hAnsi="仿宋" w:eastAsia="仿宋" w:cs="仿宋"/>
          <w:b w:val="0"/>
          <w:bCs/>
          <w:kern w:val="2"/>
          <w:sz w:val="32"/>
          <w:szCs w:val="32"/>
          <w:u w:val="none"/>
          <w:lang w:val="en-US" w:eastAsia="zh-CN" w:bidi="ar-SA"/>
        </w:rPr>
        <w:t>大赛设立企业创新方法、大学生TRIZ杯和工业工程创新方法等3个专项赛事。</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r>
        <w:rPr>
          <w:rFonts w:hint="eastAsia" w:ascii="仿宋" w:hAnsi="仿宋" w:eastAsia="仿宋" w:cs="仿宋"/>
          <w:b w:val="0"/>
          <w:bCs/>
          <w:kern w:val="2"/>
          <w:sz w:val="32"/>
          <w:szCs w:val="32"/>
          <w:u w:val="none"/>
          <w:lang w:val="en-US" w:eastAsia="zh-CN" w:bidi="ar-SA"/>
        </w:rPr>
        <w:t>企业创新方法专项赛由中国科协企业创新服务中心、创新方法研究会、湖南省科协、湖南省科技厅和长沙市人民政府共同举办。大学生TRIZ杯专项赛已于5月成功举办，工业工程创新方法专项赛赛事方案另行发布。</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r>
        <w:rPr>
          <w:rFonts w:hint="eastAsia" w:ascii="仿宋" w:hAnsi="仿宋" w:eastAsia="仿宋" w:cs="仿宋"/>
          <w:b w:val="0"/>
          <w:bCs/>
          <w:kern w:val="2"/>
          <w:sz w:val="32"/>
          <w:szCs w:val="32"/>
          <w:u w:val="none"/>
          <w:lang w:val="en-US" w:eastAsia="zh-CN" w:bidi="ar-SA"/>
        </w:rPr>
        <w:t>二、企业创新方法专项赛分省级决赛和总决赛两个阶段。</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r>
        <w:rPr>
          <w:rFonts w:hint="eastAsia" w:ascii="仿宋" w:hAnsi="仿宋" w:eastAsia="仿宋" w:cs="仿宋"/>
          <w:b w:val="0"/>
          <w:bCs/>
          <w:kern w:val="2"/>
          <w:sz w:val="32"/>
          <w:szCs w:val="32"/>
          <w:u w:val="none"/>
          <w:lang w:val="en-US" w:eastAsia="zh-CN" w:bidi="ar-SA"/>
        </w:rPr>
        <w:t>第一阶段：9月15日至10月31日为省级决赛组织阶段，由省级科协和科技主管部门联合组织。各省（自治区、直辖市）通过省级决赛推荐优秀项目参加总决赛。鼓励有条件的地、市组织选拔赛，推荐优秀项目参加省级决赛。</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r>
        <w:rPr>
          <w:rFonts w:hint="eastAsia" w:ascii="仿宋" w:hAnsi="仿宋" w:eastAsia="仿宋" w:cs="仿宋"/>
          <w:b w:val="0"/>
          <w:bCs/>
          <w:kern w:val="2"/>
          <w:sz w:val="32"/>
          <w:szCs w:val="32"/>
          <w:u w:val="none"/>
          <w:lang w:val="en-US" w:eastAsia="zh-CN" w:bidi="ar-SA"/>
        </w:rPr>
        <w:t>第二阶段：总决赛安排在11月下旬。总决赛项目数额为200个左右。各省级赛区推荐参加总决赛的名额将在大赛报名结束后，依照各省级赛区有效报名参赛项目数量按比例确定，即时在官网公布。</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r>
        <w:rPr>
          <w:rFonts w:hint="eastAsia" w:ascii="仿宋" w:hAnsi="仿宋" w:eastAsia="仿宋" w:cs="仿宋"/>
          <w:b w:val="0"/>
          <w:bCs/>
          <w:kern w:val="2"/>
          <w:sz w:val="32"/>
          <w:szCs w:val="32"/>
          <w:u w:val="none"/>
          <w:lang w:val="en-US" w:eastAsia="zh-CN" w:bidi="ar-SA"/>
        </w:rPr>
        <w:t>三、企业创新方法专项赛总决赛分理论测试、项目展示和电视擂台赛三个环节。</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r>
        <w:rPr>
          <w:rFonts w:hint="eastAsia" w:ascii="仿宋" w:hAnsi="仿宋" w:eastAsia="仿宋" w:cs="仿宋"/>
          <w:b w:val="0"/>
          <w:bCs/>
          <w:kern w:val="2"/>
          <w:sz w:val="32"/>
          <w:szCs w:val="32"/>
          <w:u w:val="none"/>
          <w:lang w:val="en-US" w:eastAsia="zh-CN" w:bidi="ar-SA"/>
        </w:rPr>
        <w:t>理论测试全员参加，适当增加方法种类和考题数量。参考书为《创新方法教程》初、中、高级（高等教育出版社出版），补充参考用书为《企业创新方法实务——一线创新工程师读本》（化学工业出版社）和《质量管理与创新小组实践》（中国科学技术出版社）。理论测试成绩按适当比例计入参赛队总成绩。</w:t>
      </w:r>
      <w:bookmarkStart w:id="0" w:name="_GoBack"/>
      <w:bookmarkEnd w:id="0"/>
      <w:r>
        <w:rPr>
          <w:rFonts w:hint="eastAsia" w:ascii="仿宋" w:hAnsi="仿宋" w:eastAsia="仿宋" w:cs="仿宋"/>
          <w:b w:val="0"/>
          <w:bCs/>
          <w:kern w:val="2"/>
          <w:sz w:val="32"/>
          <w:szCs w:val="32"/>
          <w:u w:val="none"/>
          <w:lang w:val="en-US" w:eastAsia="zh-CN" w:bidi="ar-SA"/>
        </w:rPr>
        <w:t>项目展示全员参加，成绩按适当比例计入参赛队总成绩。总决赛电视擂台赛由10支优胜团队争夺大赛金银铜奖。</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r>
        <w:rPr>
          <w:rFonts w:hint="eastAsia" w:ascii="仿宋" w:hAnsi="仿宋" w:eastAsia="仿宋" w:cs="仿宋"/>
          <w:b w:val="0"/>
          <w:bCs/>
          <w:kern w:val="2"/>
          <w:sz w:val="32"/>
          <w:szCs w:val="32"/>
          <w:u w:val="none"/>
          <w:lang w:val="en-US" w:eastAsia="zh-CN" w:bidi="ar-SA"/>
        </w:rPr>
        <w:t>四、大学生TRIZ杯专项赛、工业工程创新方法专项赛前三名在总决赛电视擂台赛后进行集中颁奖。</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r>
        <w:rPr>
          <w:rFonts w:hint="eastAsia" w:ascii="仿宋" w:hAnsi="仿宋" w:eastAsia="仿宋" w:cs="仿宋"/>
          <w:b w:val="0"/>
          <w:bCs/>
          <w:kern w:val="2"/>
          <w:sz w:val="32"/>
          <w:szCs w:val="32"/>
          <w:u w:val="none"/>
          <w:lang w:val="en-US" w:eastAsia="zh-CN" w:bidi="ar-SA"/>
        </w:rPr>
        <w:t>五、参赛团队请登录中国科协绿平台/中国创新方法大赛官网（</w:t>
      </w:r>
      <w:r>
        <w:rPr>
          <w:rFonts w:hint="default" w:ascii="Times New Roman" w:hAnsi="Times New Roman" w:eastAsia="仿宋" w:cs="Times New Roman"/>
          <w:b w:val="0"/>
          <w:bCs/>
          <w:kern w:val="2"/>
          <w:sz w:val="32"/>
          <w:szCs w:val="32"/>
          <w:u w:val="none"/>
          <w:lang w:val="en-US" w:eastAsia="zh-CN" w:bidi="ar-SA"/>
        </w:rPr>
        <w:t>http://www.qiyekexie.com/portal/scds/index.action</w:t>
      </w:r>
      <w:r>
        <w:rPr>
          <w:rFonts w:hint="eastAsia" w:ascii="仿宋" w:hAnsi="仿宋" w:eastAsia="仿宋" w:cs="仿宋"/>
          <w:b w:val="0"/>
          <w:bCs/>
          <w:kern w:val="2"/>
          <w:sz w:val="32"/>
          <w:szCs w:val="32"/>
          <w:u w:val="none"/>
          <w:lang w:val="en-US" w:eastAsia="zh-CN" w:bidi="ar-SA"/>
        </w:rPr>
        <w:t>），统一报名参加企业创新方法专项赛，报名时间为2019年8月5日至9月15日。报名参赛不收取任何费用。同时请申报的老师报科研处登记。</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kern w:val="2"/>
          <w:sz w:val="32"/>
          <w:szCs w:val="32"/>
          <w:u w:val="none"/>
          <w:lang w:val="en-US" w:eastAsia="zh-CN" w:bidi="ar-SA"/>
        </w:rPr>
      </w:pPr>
    </w:p>
    <w:p>
      <w:pPr>
        <w:spacing w:line="560" w:lineRule="exact"/>
        <w:ind w:firstLine="4000" w:firstLineChars="1250"/>
        <w:jc w:val="center"/>
        <w:rPr>
          <w:rFonts w:ascii="仿宋" w:hAnsi="仿宋" w:eastAsia="仿宋" w:cs="仿宋"/>
          <w:b w:val="0"/>
          <w:bCs/>
          <w:sz w:val="32"/>
          <w:szCs w:val="32"/>
          <w:u w:val="none"/>
        </w:rPr>
      </w:pPr>
      <w:r>
        <w:rPr>
          <w:rFonts w:hint="eastAsia" w:ascii="仿宋" w:hAnsi="仿宋" w:eastAsia="仿宋" w:cs="仿宋"/>
          <w:b w:val="0"/>
          <w:bCs/>
          <w:sz w:val="32"/>
          <w:szCs w:val="32"/>
          <w:u w:val="none"/>
        </w:rPr>
        <w:t xml:space="preserve">     科研处</w:t>
      </w:r>
    </w:p>
    <w:p>
      <w:pPr>
        <w:spacing w:line="560" w:lineRule="exact"/>
        <w:ind w:firstLine="5920" w:firstLineChars="1850"/>
        <w:rPr>
          <w:rFonts w:ascii="仿宋" w:hAnsi="仿宋" w:eastAsia="仿宋" w:cs="仿宋"/>
          <w:b w:val="0"/>
          <w:bCs/>
          <w:sz w:val="32"/>
          <w:szCs w:val="32"/>
          <w:u w:val="none"/>
        </w:rPr>
      </w:pPr>
      <w:r>
        <w:rPr>
          <w:rFonts w:hint="eastAsia" w:ascii="仿宋" w:hAnsi="仿宋" w:eastAsia="仿宋" w:cs="仿宋"/>
          <w:b w:val="0"/>
          <w:bCs/>
          <w:sz w:val="32"/>
          <w:szCs w:val="32"/>
          <w:u w:val="none"/>
        </w:rPr>
        <w:t>2019年8月2</w:t>
      </w:r>
      <w:r>
        <w:rPr>
          <w:rFonts w:hint="eastAsia" w:ascii="仿宋" w:hAnsi="仿宋" w:eastAsia="仿宋" w:cs="仿宋"/>
          <w:b w:val="0"/>
          <w:bCs/>
          <w:sz w:val="32"/>
          <w:szCs w:val="32"/>
          <w:u w:val="none"/>
          <w:lang w:val="en-US" w:eastAsia="zh-CN"/>
        </w:rPr>
        <w:t>3</w:t>
      </w:r>
      <w:r>
        <w:rPr>
          <w:rFonts w:hint="eastAsia" w:ascii="仿宋" w:hAnsi="仿宋" w:eastAsia="仿宋" w:cs="仿宋"/>
          <w:b w:val="0"/>
          <w:bCs/>
          <w:sz w:val="32"/>
          <w:szCs w:val="32"/>
          <w:u w:val="none"/>
        </w:rPr>
        <w:t>日</w:t>
      </w:r>
    </w:p>
    <w:sectPr>
      <w:pgSz w:w="11906" w:h="16838"/>
      <w:pgMar w:top="1440" w:right="1191" w:bottom="1440" w:left="119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730DE1"/>
    <w:multiLevelType w:val="singleLevel"/>
    <w:tmpl w:val="B3730DE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375FA5"/>
    <w:rsid w:val="00073470"/>
    <w:rsid w:val="000962B6"/>
    <w:rsid w:val="001566AA"/>
    <w:rsid w:val="004D197B"/>
    <w:rsid w:val="00501F6D"/>
    <w:rsid w:val="00504501"/>
    <w:rsid w:val="005E75FE"/>
    <w:rsid w:val="006449D6"/>
    <w:rsid w:val="00723B80"/>
    <w:rsid w:val="007B515E"/>
    <w:rsid w:val="0088449E"/>
    <w:rsid w:val="008C538D"/>
    <w:rsid w:val="00972BE0"/>
    <w:rsid w:val="00A01F87"/>
    <w:rsid w:val="00A029B3"/>
    <w:rsid w:val="00A26232"/>
    <w:rsid w:val="00A54C23"/>
    <w:rsid w:val="00A62118"/>
    <w:rsid w:val="00B2709E"/>
    <w:rsid w:val="00B8060F"/>
    <w:rsid w:val="00C0590D"/>
    <w:rsid w:val="00C735A6"/>
    <w:rsid w:val="00D22723"/>
    <w:rsid w:val="00D936D4"/>
    <w:rsid w:val="00EB2CE7"/>
    <w:rsid w:val="00FE3B3A"/>
    <w:rsid w:val="02A022BC"/>
    <w:rsid w:val="03D43972"/>
    <w:rsid w:val="048D31D6"/>
    <w:rsid w:val="05893BF7"/>
    <w:rsid w:val="073C45EB"/>
    <w:rsid w:val="0C1C05AF"/>
    <w:rsid w:val="103A04D4"/>
    <w:rsid w:val="112615D9"/>
    <w:rsid w:val="1550305D"/>
    <w:rsid w:val="15E718B2"/>
    <w:rsid w:val="17B55E1A"/>
    <w:rsid w:val="1A0152BD"/>
    <w:rsid w:val="1F144452"/>
    <w:rsid w:val="20E60E3E"/>
    <w:rsid w:val="21E1726B"/>
    <w:rsid w:val="225A2216"/>
    <w:rsid w:val="240019AE"/>
    <w:rsid w:val="2483423B"/>
    <w:rsid w:val="24E3028B"/>
    <w:rsid w:val="27364C5F"/>
    <w:rsid w:val="2F90750B"/>
    <w:rsid w:val="31700513"/>
    <w:rsid w:val="329532BA"/>
    <w:rsid w:val="386A4320"/>
    <w:rsid w:val="398E7BC9"/>
    <w:rsid w:val="39F6067B"/>
    <w:rsid w:val="3A691882"/>
    <w:rsid w:val="3BEE1909"/>
    <w:rsid w:val="3C784EC2"/>
    <w:rsid w:val="3CB33245"/>
    <w:rsid w:val="42A30AD3"/>
    <w:rsid w:val="44BC56A8"/>
    <w:rsid w:val="4506646B"/>
    <w:rsid w:val="45A36261"/>
    <w:rsid w:val="46B03E4B"/>
    <w:rsid w:val="48F55420"/>
    <w:rsid w:val="4A7A1E69"/>
    <w:rsid w:val="50526349"/>
    <w:rsid w:val="505602D5"/>
    <w:rsid w:val="52352F67"/>
    <w:rsid w:val="52C51A67"/>
    <w:rsid w:val="54460DE4"/>
    <w:rsid w:val="56507F0E"/>
    <w:rsid w:val="57135E4A"/>
    <w:rsid w:val="585A1D5F"/>
    <w:rsid w:val="5B1607DE"/>
    <w:rsid w:val="5CE65A6A"/>
    <w:rsid w:val="60D32344"/>
    <w:rsid w:val="61317EA0"/>
    <w:rsid w:val="640972D0"/>
    <w:rsid w:val="64574D14"/>
    <w:rsid w:val="6696605F"/>
    <w:rsid w:val="66CC5D14"/>
    <w:rsid w:val="6C40196F"/>
    <w:rsid w:val="6CBA1855"/>
    <w:rsid w:val="6D1F6713"/>
    <w:rsid w:val="6D691309"/>
    <w:rsid w:val="6EBD3932"/>
    <w:rsid w:val="70375FA5"/>
    <w:rsid w:val="70B02DD9"/>
    <w:rsid w:val="713A3DF3"/>
    <w:rsid w:val="71A77B00"/>
    <w:rsid w:val="72BE6D8B"/>
    <w:rsid w:val="73760E54"/>
    <w:rsid w:val="74EF3FAA"/>
    <w:rsid w:val="7B175B60"/>
    <w:rsid w:val="7DA80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kern w:val="2"/>
      <w:sz w:val="36"/>
      <w:szCs w:val="36"/>
      <w:u w:val="single"/>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character" w:customStyle="1" w:styleId="10">
    <w:name w:val="页眉 Char"/>
    <w:basedOn w:val="7"/>
    <w:link w:val="4"/>
    <w:uiPriority w:val="0"/>
    <w:rPr>
      <w:b/>
      <w:kern w:val="2"/>
      <w:sz w:val="18"/>
      <w:szCs w:val="18"/>
      <w:u w:val="single"/>
    </w:rPr>
  </w:style>
  <w:style w:type="character" w:customStyle="1" w:styleId="11">
    <w:name w:val="页脚 Char"/>
    <w:basedOn w:val="7"/>
    <w:link w:val="3"/>
    <w:qFormat/>
    <w:uiPriority w:val="0"/>
    <w:rPr>
      <w:b/>
      <w:kern w:val="2"/>
      <w:sz w:val="18"/>
      <w:szCs w:val="18"/>
      <w:u w:val="single"/>
    </w:rPr>
  </w:style>
  <w:style w:type="paragraph" w:styleId="12">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13C544-1E7D-4C28-934A-F47B7E11BC5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142</Words>
  <Characters>812</Characters>
  <Lines>6</Lines>
  <Paragraphs>1</Paragraphs>
  <TotalTime>20</TotalTime>
  <ScaleCrop>false</ScaleCrop>
  <LinksUpToDate>false</LinksUpToDate>
  <CharactersWithSpaces>953</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2018-12-19T08:01:00Z</dcterms:created>
  <dc:creator>青花</dc:creator>
  <cp:lastModifiedBy>小平盖</cp:lastModifiedBy>
  <cp:lastPrinted>2018-12-26T19:59:00Z</cp:lastPrinted>
  <dcterms:modified xsi:type="dcterms:W3CDTF">2019-08-23T08:12:04Z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