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4" w:type="dxa"/>
        <w:jc w:val="center"/>
        <w:tblInd w:w="-179" w:type="dxa"/>
        <w:tblLayout w:type="fixed"/>
        <w:tblCellMar>
          <w:top w:w="15" w:type="dxa"/>
          <w:left w:w="15" w:type="dxa"/>
          <w:bottom w:w="15" w:type="dxa"/>
          <w:right w:w="15" w:type="dxa"/>
        </w:tblCellMar>
        <w:tblLook w:val="04A0" w:firstRow="1" w:lastRow="0" w:firstColumn="1" w:lastColumn="0" w:noHBand="0" w:noVBand="1"/>
      </w:tblPr>
      <w:tblGrid>
        <w:gridCol w:w="6680"/>
        <w:gridCol w:w="900"/>
        <w:gridCol w:w="1665"/>
        <w:gridCol w:w="559"/>
      </w:tblGrid>
      <w:tr w:rsidR="008C538D">
        <w:trPr>
          <w:trHeight w:val="2048"/>
          <w:jc w:val="center"/>
        </w:trPr>
        <w:tc>
          <w:tcPr>
            <w:tcW w:w="6680" w:type="dxa"/>
            <w:tcBorders>
              <w:bottom w:val="nil"/>
              <w:tl2br w:val="nil"/>
              <w:tr2bl w:val="nil"/>
            </w:tcBorders>
            <w:shd w:val="clear" w:color="auto" w:fill="auto"/>
            <w:vAlign w:val="center"/>
          </w:tcPr>
          <w:p w:rsidR="008C538D" w:rsidRDefault="00C0590D">
            <w:pPr>
              <w:widowControl/>
              <w:jc w:val="center"/>
              <w:textAlignment w:val="center"/>
              <w:rPr>
                <w:rFonts w:ascii="Times New Roman" w:eastAsia="方正小标宋简体" w:hAnsi="Times New Roman" w:cs="Times New Roman"/>
                <w:color w:val="FF0000"/>
                <w:sz w:val="72"/>
                <w:szCs w:val="72"/>
                <w:u w:val="none"/>
              </w:rPr>
            </w:pPr>
            <w:r>
              <w:rPr>
                <w:rFonts w:asciiTheme="minorEastAsia" w:hAnsiTheme="minorEastAsia" w:cstheme="minorEastAsia" w:hint="eastAsia"/>
                <w:color w:val="FF0000"/>
                <w:w w:val="66"/>
                <w:sz w:val="120"/>
                <w:szCs w:val="120"/>
                <w:u w:val="none"/>
              </w:rPr>
              <w:t>泉州职业技术大学</w:t>
            </w:r>
          </w:p>
        </w:tc>
        <w:tc>
          <w:tcPr>
            <w:tcW w:w="900" w:type="dxa"/>
            <w:tcBorders>
              <w:bottom w:val="nil"/>
              <w:tl2br w:val="nil"/>
              <w:tr2bl w:val="nil"/>
            </w:tcBorders>
            <w:shd w:val="clear" w:color="auto" w:fill="auto"/>
            <w:vAlign w:val="center"/>
          </w:tcPr>
          <w:p w:rsidR="008C538D" w:rsidRDefault="00C0590D">
            <w:pPr>
              <w:widowControl/>
              <w:jc w:val="left"/>
              <w:textAlignment w:val="center"/>
              <w:rPr>
                <w:rFonts w:ascii="Times New Roman" w:eastAsia="宋体" w:hAnsi="Times New Roman" w:cs="Times New Roman"/>
                <w:color w:val="FF0000"/>
                <w:sz w:val="72"/>
                <w:szCs w:val="72"/>
                <w:u w:val="none"/>
              </w:rPr>
            </w:pPr>
            <w:r>
              <w:rPr>
                <w:rFonts w:ascii="Times New Roman" w:eastAsia="宋体" w:hAnsi="Times New Roman" w:cs="Times New Roman"/>
                <w:color w:val="FF0000"/>
                <w:kern w:val="0"/>
                <w:sz w:val="96"/>
                <w:szCs w:val="96"/>
                <w:u w:val="none"/>
                <w:lang w:bidi="ar"/>
              </w:rPr>
              <w:t>（</w:t>
            </w:r>
          </w:p>
        </w:tc>
        <w:tc>
          <w:tcPr>
            <w:tcW w:w="1665" w:type="dxa"/>
            <w:tcBorders>
              <w:bottom w:val="nil"/>
              <w:tl2br w:val="nil"/>
              <w:tr2bl w:val="nil"/>
            </w:tcBorders>
            <w:shd w:val="clear" w:color="auto" w:fill="auto"/>
            <w:vAlign w:val="center"/>
          </w:tcPr>
          <w:p w:rsidR="008C538D" w:rsidRDefault="00C0590D">
            <w:pPr>
              <w:widowControl/>
              <w:spacing w:line="400" w:lineRule="exact"/>
              <w:jc w:val="center"/>
              <w:textAlignment w:val="bottom"/>
              <w:rPr>
                <w:rFonts w:ascii="Times New Roman" w:eastAsia="新宋体" w:hAnsi="Times New Roman" w:cs="Times New Roman"/>
                <w:color w:val="000000"/>
                <w:kern w:val="0"/>
                <w:sz w:val="32"/>
                <w:szCs w:val="32"/>
                <w:u w:val="none"/>
                <w:lang w:bidi="ar"/>
              </w:rPr>
            </w:pPr>
            <w:r>
              <w:rPr>
                <w:rFonts w:ascii="Times New Roman" w:eastAsia="新宋体" w:hAnsi="Times New Roman" w:cs="Times New Roman" w:hint="eastAsia"/>
                <w:color w:val="000000"/>
                <w:kern w:val="0"/>
                <w:sz w:val="32"/>
                <w:szCs w:val="32"/>
                <w:u w:val="none"/>
                <w:lang w:bidi="ar"/>
              </w:rPr>
              <w:t>科研处</w:t>
            </w:r>
          </w:p>
          <w:p w:rsidR="008C538D" w:rsidRDefault="00C0590D">
            <w:pPr>
              <w:widowControl/>
              <w:spacing w:line="400" w:lineRule="exact"/>
              <w:jc w:val="center"/>
              <w:textAlignment w:val="top"/>
              <w:rPr>
                <w:rFonts w:ascii="Times New Roman" w:eastAsia="新宋体" w:hAnsi="Times New Roman" w:cs="Times New Roman"/>
                <w:color w:val="000000"/>
                <w:sz w:val="32"/>
                <w:szCs w:val="32"/>
                <w:u w:val="none"/>
              </w:rPr>
            </w:pPr>
            <w:r>
              <w:rPr>
                <w:rFonts w:ascii="Times New Roman" w:eastAsia="新宋体" w:hAnsi="Times New Roman" w:cs="Times New Roman"/>
                <w:color w:val="000000"/>
                <w:kern w:val="0"/>
                <w:sz w:val="32"/>
                <w:szCs w:val="32"/>
                <w:u w:val="none"/>
                <w:lang w:bidi="ar"/>
              </w:rPr>
              <w:t>通</w:t>
            </w:r>
            <w:r>
              <w:rPr>
                <w:rFonts w:ascii="Times New Roman" w:eastAsia="新宋体" w:hAnsi="Times New Roman" w:cs="Times New Roman" w:hint="eastAsia"/>
                <w:color w:val="000000"/>
                <w:kern w:val="0"/>
                <w:sz w:val="32"/>
                <w:szCs w:val="32"/>
                <w:u w:val="none"/>
                <w:lang w:bidi="ar"/>
              </w:rPr>
              <w:t xml:space="preserve">  </w:t>
            </w:r>
            <w:r>
              <w:rPr>
                <w:rFonts w:ascii="Times New Roman" w:eastAsia="新宋体" w:hAnsi="Times New Roman" w:cs="Times New Roman"/>
                <w:color w:val="000000"/>
                <w:kern w:val="0"/>
                <w:sz w:val="32"/>
                <w:szCs w:val="32"/>
                <w:u w:val="none"/>
                <w:lang w:bidi="ar"/>
              </w:rPr>
              <w:t>知</w:t>
            </w:r>
          </w:p>
        </w:tc>
        <w:tc>
          <w:tcPr>
            <w:tcW w:w="559" w:type="dxa"/>
            <w:tcBorders>
              <w:bottom w:val="nil"/>
              <w:tl2br w:val="nil"/>
              <w:tr2bl w:val="nil"/>
            </w:tcBorders>
            <w:shd w:val="clear" w:color="auto" w:fill="auto"/>
            <w:vAlign w:val="center"/>
          </w:tcPr>
          <w:p w:rsidR="008C538D" w:rsidRDefault="00C0590D">
            <w:pPr>
              <w:widowControl/>
              <w:jc w:val="center"/>
              <w:textAlignment w:val="center"/>
              <w:rPr>
                <w:rFonts w:ascii="Times New Roman" w:eastAsia="宋体" w:hAnsi="Times New Roman" w:cs="Times New Roman"/>
                <w:color w:val="FF0000"/>
                <w:sz w:val="72"/>
                <w:szCs w:val="72"/>
                <w:u w:val="none"/>
              </w:rPr>
            </w:pPr>
            <w:r>
              <w:rPr>
                <w:rFonts w:ascii="Times New Roman" w:eastAsia="宋体" w:hAnsi="Times New Roman" w:cs="Times New Roman"/>
                <w:color w:val="FF0000"/>
                <w:kern w:val="0"/>
                <w:sz w:val="96"/>
                <w:szCs w:val="96"/>
                <w:u w:val="none"/>
                <w:lang w:bidi="ar"/>
              </w:rPr>
              <w:t>）</w:t>
            </w:r>
          </w:p>
        </w:tc>
      </w:tr>
      <w:tr w:rsidR="008C538D">
        <w:trPr>
          <w:trHeight w:val="850"/>
          <w:jc w:val="center"/>
        </w:trPr>
        <w:tc>
          <w:tcPr>
            <w:tcW w:w="9804" w:type="dxa"/>
            <w:gridSpan w:val="4"/>
            <w:tcBorders>
              <w:top w:val="nil"/>
              <w:left w:val="nil"/>
              <w:bottom w:val="nil"/>
              <w:right w:val="nil"/>
              <w:tl2br w:val="nil"/>
              <w:tr2bl w:val="nil"/>
            </w:tcBorders>
            <w:shd w:val="clear" w:color="auto" w:fill="auto"/>
            <w:vAlign w:val="center"/>
          </w:tcPr>
          <w:p w:rsidR="008C538D" w:rsidRDefault="00C0590D" w:rsidP="00A01F87">
            <w:pPr>
              <w:widowControl/>
              <w:jc w:val="center"/>
              <w:textAlignment w:val="center"/>
              <w:rPr>
                <w:rFonts w:ascii="Times New Roman" w:eastAsia="宋体" w:hAnsi="Times New Roman" w:cs="Times New Roman"/>
                <w:color w:val="000000"/>
                <w:sz w:val="22"/>
                <w:szCs w:val="22"/>
                <w:u w:val="none"/>
              </w:rPr>
            </w:pPr>
            <w:r>
              <w:rPr>
                <w:rFonts w:ascii="仿宋" w:eastAsia="仿宋" w:hAnsi="仿宋" w:cs="仿宋" w:hint="eastAsia"/>
                <w:b w:val="0"/>
                <w:bCs/>
                <w:color w:val="000000"/>
                <w:kern w:val="0"/>
                <w:sz w:val="32"/>
                <w:szCs w:val="32"/>
                <w:u w:val="none"/>
                <w:lang w:bidi="ar"/>
              </w:rPr>
              <w:t>(2019)科</w:t>
            </w:r>
            <w:r w:rsidR="00FE3B3A">
              <w:rPr>
                <w:rFonts w:ascii="仿宋" w:eastAsia="仿宋" w:hAnsi="仿宋" w:cs="仿宋" w:hint="eastAsia"/>
                <w:b w:val="0"/>
                <w:bCs/>
                <w:color w:val="000000"/>
                <w:kern w:val="0"/>
                <w:sz w:val="32"/>
                <w:szCs w:val="32"/>
                <w:u w:val="none"/>
                <w:lang w:bidi="ar"/>
              </w:rPr>
              <w:t>3</w:t>
            </w:r>
            <w:r w:rsidR="00A01F87">
              <w:rPr>
                <w:rFonts w:ascii="仿宋" w:eastAsia="仿宋" w:hAnsi="仿宋" w:cs="仿宋" w:hint="eastAsia"/>
                <w:b w:val="0"/>
                <w:bCs/>
                <w:color w:val="000000"/>
                <w:kern w:val="0"/>
                <w:sz w:val="32"/>
                <w:szCs w:val="32"/>
                <w:u w:val="none"/>
                <w:lang w:bidi="ar"/>
              </w:rPr>
              <w:t>5</w:t>
            </w:r>
            <w:r>
              <w:rPr>
                <w:rFonts w:ascii="仿宋" w:eastAsia="仿宋" w:hAnsi="仿宋" w:cs="仿宋" w:hint="eastAsia"/>
                <w:b w:val="0"/>
                <w:bCs/>
                <w:color w:val="000000"/>
                <w:kern w:val="0"/>
                <w:sz w:val="32"/>
                <w:szCs w:val="32"/>
                <w:u w:val="none"/>
                <w:lang w:bidi="ar"/>
              </w:rPr>
              <w:t>号</w:t>
            </w:r>
          </w:p>
        </w:tc>
      </w:tr>
    </w:tbl>
    <w:p w:rsidR="00A01F87" w:rsidRDefault="00C0590D" w:rsidP="00A01F87">
      <w:pPr>
        <w:pStyle w:val="1"/>
        <w:widowControl/>
        <w:shd w:val="clear" w:color="auto" w:fill="FFFFFF"/>
        <w:spacing w:beforeLines="150" w:before="468" w:beforeAutospacing="0" w:afterAutospacing="0" w:line="560" w:lineRule="exact"/>
        <w:jc w:val="center"/>
        <w:rPr>
          <w:rFonts w:ascii="方正小标宋简体" w:eastAsia="方正小标宋简体" w:hint="default"/>
          <w:b w:val="0"/>
          <w:kern w:val="2"/>
          <w:sz w:val="44"/>
          <w:szCs w:val="44"/>
          <w:u w:val="none"/>
        </w:rPr>
      </w:pPr>
      <w:r>
        <w:rPr>
          <w:rFonts w:ascii="方正小标宋简体" w:eastAsia="方正小标宋简体"/>
          <w:b w:val="0"/>
          <w:noProof/>
          <w:kern w:val="2"/>
          <w:sz w:val="44"/>
          <w:szCs w:val="44"/>
          <w:u w:val="none"/>
        </w:rPr>
        <mc:AlternateContent>
          <mc:Choice Requires="wps">
            <w:drawing>
              <wp:anchor distT="0" distB="0" distL="114300" distR="114300" simplePos="0" relativeHeight="251658240" behindDoc="0" locked="0" layoutInCell="1" allowOverlap="1" wp14:anchorId="2F3277D5" wp14:editId="3E2BF3C8">
                <wp:simplePos x="0" y="0"/>
                <wp:positionH relativeFrom="column">
                  <wp:posOffset>0</wp:posOffset>
                </wp:positionH>
                <wp:positionV relativeFrom="paragraph">
                  <wp:posOffset>8890</wp:posOffset>
                </wp:positionV>
                <wp:extent cx="6193790" cy="8890"/>
                <wp:effectExtent l="0" t="4445" r="16510" b="24765"/>
                <wp:wrapNone/>
                <wp:docPr id="3" name="直接连接符 3"/>
                <wp:cNvGraphicFramePr/>
                <a:graphic xmlns:a="http://schemas.openxmlformats.org/drawingml/2006/main">
                  <a:graphicData uri="http://schemas.microsoft.com/office/word/2010/wordprocessingShape">
                    <wps:wsp>
                      <wps:cNvCnPr/>
                      <wps:spPr>
                        <a:xfrm>
                          <a:off x="756285" y="5076825"/>
                          <a:ext cx="6193790" cy="8890"/>
                        </a:xfrm>
                        <a:prstGeom prst="line">
                          <a:avLst/>
                        </a:prstGeom>
                        <a:ln w="47625" cmpd="sng">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0pt;margin-top:0.7pt;height:0.7pt;width:487.7pt;z-index:251658240;mso-width-relative:page;mso-height-relative:page;" filled="f" stroked="t" coordsize="21600,21600" o:gfxdata="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9gORNQAAAAEAQAADwAAAAAAAAAB&#10;ACAAAAAiAAAAZHJzL2Rvd25yZXYueG1sUEsBAhQAFAAAAAgAh07iQNbEcifbAQAAcgMAAA4AAAAA&#10;AAAAAQAgAAAAIwEAAGRycy9lMm9Eb2MueG1sUEsFBgAAAAAGAAYAWQEAAHAFAAAAAA==&#10;">
                <v:fill on="f" focussize="0,0"/>
                <v:stroke weight="3.75pt" color="#FF0000 [3204]" miterlimit="8" joinstyle="miter"/>
                <v:imagedata o:title=""/>
                <o:lock v:ext="edit" aspectratio="f"/>
              </v:line>
            </w:pict>
          </mc:Fallback>
        </mc:AlternateContent>
      </w:r>
      <w:r>
        <w:rPr>
          <w:rFonts w:ascii="方正小标宋简体" w:eastAsia="方正小标宋简体"/>
          <w:b w:val="0"/>
          <w:kern w:val="2"/>
          <w:sz w:val="44"/>
          <w:szCs w:val="44"/>
          <w:u w:val="none"/>
        </w:rPr>
        <w:t>关于转发</w:t>
      </w:r>
      <w:r w:rsidR="00A01F87" w:rsidRPr="00A01F87">
        <w:rPr>
          <w:rFonts w:ascii="方正小标宋简体" w:eastAsia="方正小标宋简体"/>
          <w:b w:val="0"/>
          <w:kern w:val="2"/>
          <w:sz w:val="44"/>
          <w:szCs w:val="44"/>
          <w:u w:val="none"/>
        </w:rPr>
        <w:t>泉州市科技局关于做好2019年度第二批泉州市科技特派员选认工作的通知</w:t>
      </w:r>
    </w:p>
    <w:p w:rsidR="008C538D" w:rsidRDefault="00C0590D" w:rsidP="00A01F87">
      <w:pPr>
        <w:pStyle w:val="1"/>
        <w:widowControl/>
        <w:shd w:val="clear" w:color="auto" w:fill="FFFFFF"/>
        <w:spacing w:beforeLines="150" w:before="468" w:beforeAutospacing="0" w:afterAutospacing="0" w:line="560" w:lineRule="exact"/>
        <w:rPr>
          <w:rFonts w:ascii="仿宋" w:eastAsia="仿宋" w:hAnsi="仿宋" w:cs="仿宋" w:hint="default"/>
          <w:b w:val="0"/>
          <w:bCs/>
          <w:sz w:val="32"/>
          <w:szCs w:val="32"/>
          <w:u w:val="none"/>
        </w:rPr>
      </w:pPr>
      <w:r>
        <w:rPr>
          <w:rFonts w:ascii="仿宋" w:eastAsia="仿宋" w:hAnsi="仿宋" w:cs="仿宋"/>
          <w:b w:val="0"/>
          <w:bCs/>
          <w:sz w:val="32"/>
          <w:szCs w:val="32"/>
          <w:u w:val="none"/>
        </w:rPr>
        <w:t>学校各单位：</w:t>
      </w:r>
    </w:p>
    <w:p w:rsidR="008C538D" w:rsidRDefault="00C0590D">
      <w:pPr>
        <w:spacing w:line="560" w:lineRule="exact"/>
        <w:ind w:firstLineChars="200" w:firstLine="640"/>
        <w:rPr>
          <w:rFonts w:ascii="仿宋" w:eastAsia="仿宋" w:hAnsi="仿宋" w:cs="仿宋"/>
          <w:b w:val="0"/>
          <w:bCs/>
          <w:sz w:val="32"/>
          <w:szCs w:val="32"/>
          <w:u w:val="none"/>
        </w:rPr>
      </w:pPr>
      <w:r>
        <w:rPr>
          <w:rFonts w:ascii="仿宋" w:eastAsia="仿宋" w:hAnsi="仿宋" w:cs="仿宋" w:hint="eastAsia"/>
          <w:b w:val="0"/>
          <w:bCs/>
          <w:sz w:val="32"/>
          <w:szCs w:val="32"/>
          <w:u w:val="none"/>
        </w:rPr>
        <w:t>现将《</w:t>
      </w:r>
      <w:r w:rsidR="00A01F87" w:rsidRPr="00A01F87">
        <w:rPr>
          <w:rFonts w:ascii="仿宋" w:eastAsia="仿宋" w:hAnsi="仿宋" w:cs="仿宋" w:hint="eastAsia"/>
          <w:b w:val="0"/>
          <w:bCs/>
          <w:sz w:val="32"/>
          <w:szCs w:val="32"/>
          <w:u w:val="none"/>
        </w:rPr>
        <w:t>泉州市科技局关于做好2019年度第二批泉州市科技特派员选认工作的通知</w:t>
      </w:r>
      <w:r>
        <w:rPr>
          <w:rFonts w:ascii="仿宋" w:eastAsia="仿宋" w:hAnsi="仿宋" w:cs="仿宋" w:hint="eastAsia"/>
          <w:b w:val="0"/>
          <w:bCs/>
          <w:sz w:val="32"/>
          <w:szCs w:val="32"/>
          <w:u w:val="none"/>
        </w:rPr>
        <w:t>》转发给你们，请各单位积极组织申报。</w:t>
      </w:r>
    </w:p>
    <w:p w:rsidR="008C538D" w:rsidRPr="00A029B3" w:rsidRDefault="00A01F87" w:rsidP="00A01F87">
      <w:pPr>
        <w:pStyle w:val="a8"/>
        <w:numPr>
          <w:ilvl w:val="0"/>
          <w:numId w:val="1"/>
        </w:numPr>
        <w:spacing w:line="560" w:lineRule="exact"/>
        <w:ind w:firstLineChars="0"/>
        <w:rPr>
          <w:rFonts w:ascii="黑体" w:eastAsia="黑体" w:hAnsi="黑体" w:cs="仿宋"/>
          <w:b w:val="0"/>
          <w:bCs/>
          <w:sz w:val="32"/>
          <w:szCs w:val="32"/>
          <w:u w:val="none"/>
        </w:rPr>
      </w:pPr>
      <w:r w:rsidRPr="00A029B3">
        <w:rPr>
          <w:rFonts w:ascii="黑体" w:eastAsia="黑体" w:hAnsi="黑体" w:cs="仿宋" w:hint="eastAsia"/>
          <w:b w:val="0"/>
          <w:bCs/>
          <w:sz w:val="32"/>
          <w:szCs w:val="32"/>
          <w:u w:val="none"/>
        </w:rPr>
        <w:t>选认基本条件</w:t>
      </w:r>
    </w:p>
    <w:p w:rsidR="00A01F87" w:rsidRDefault="00A01F87" w:rsidP="00A01F87">
      <w:pPr>
        <w:spacing w:line="560" w:lineRule="exact"/>
        <w:ind w:firstLineChars="200" w:firstLine="640"/>
        <w:rPr>
          <w:rFonts w:ascii="仿宋" w:eastAsia="仿宋" w:hAnsi="仿宋" w:cs="仿宋"/>
          <w:b w:val="0"/>
          <w:bCs/>
          <w:sz w:val="32"/>
          <w:szCs w:val="32"/>
          <w:u w:val="none"/>
        </w:rPr>
      </w:pPr>
      <w:r w:rsidRPr="00A01F87">
        <w:rPr>
          <w:rFonts w:ascii="仿宋" w:eastAsia="仿宋" w:hAnsi="仿宋" w:cs="仿宋" w:hint="eastAsia"/>
          <w:b w:val="0"/>
          <w:bCs/>
          <w:sz w:val="32"/>
          <w:szCs w:val="32"/>
          <w:u w:val="none"/>
        </w:rPr>
        <w:t>科技特派员选认对象需符合《泉州市深入推进科技特派员创新创业实施意见》要求，不限来源（省内外高校、科研院所、企业均可）、不限服务领域、不限名额，对深入企业、基层一线开展</w:t>
      </w:r>
      <w:proofErr w:type="gramStart"/>
      <w:r w:rsidRPr="00A01F87">
        <w:rPr>
          <w:rFonts w:ascii="仿宋" w:eastAsia="仿宋" w:hAnsi="仿宋" w:cs="仿宋" w:hint="eastAsia"/>
          <w:b w:val="0"/>
          <w:bCs/>
          <w:sz w:val="32"/>
          <w:szCs w:val="32"/>
          <w:u w:val="none"/>
        </w:rPr>
        <w:t>技术公益</w:t>
      </w:r>
      <w:proofErr w:type="gramEnd"/>
      <w:r w:rsidRPr="00A01F87">
        <w:rPr>
          <w:rFonts w:ascii="仿宋" w:eastAsia="仿宋" w:hAnsi="仿宋" w:cs="仿宋" w:hint="eastAsia"/>
          <w:b w:val="0"/>
          <w:bCs/>
          <w:sz w:val="32"/>
          <w:szCs w:val="32"/>
          <w:u w:val="none"/>
        </w:rPr>
        <w:t>服务，创办、领办经济实体</w:t>
      </w:r>
      <w:proofErr w:type="gramStart"/>
      <w:r w:rsidRPr="00A01F87">
        <w:rPr>
          <w:rFonts w:ascii="仿宋" w:eastAsia="仿宋" w:hAnsi="仿宋" w:cs="仿宋" w:hint="eastAsia"/>
          <w:b w:val="0"/>
          <w:bCs/>
          <w:sz w:val="32"/>
          <w:szCs w:val="32"/>
          <w:u w:val="none"/>
        </w:rPr>
        <w:t>和星创天地</w:t>
      </w:r>
      <w:proofErr w:type="gramEnd"/>
      <w:r w:rsidRPr="00A01F87">
        <w:rPr>
          <w:rFonts w:ascii="仿宋" w:eastAsia="仿宋" w:hAnsi="仿宋" w:cs="仿宋" w:hint="eastAsia"/>
          <w:b w:val="0"/>
          <w:bCs/>
          <w:sz w:val="32"/>
          <w:szCs w:val="32"/>
          <w:u w:val="none"/>
        </w:rPr>
        <w:t>，或与经济实体开展实质性技术合作的个人和团队可优先推荐。</w:t>
      </w:r>
    </w:p>
    <w:p w:rsidR="00A01F87" w:rsidRPr="00A01F87" w:rsidRDefault="00A01F87" w:rsidP="00A01F87">
      <w:pPr>
        <w:spacing w:line="560" w:lineRule="exact"/>
        <w:ind w:firstLineChars="200" w:firstLine="640"/>
        <w:rPr>
          <w:rFonts w:ascii="仿宋" w:eastAsia="仿宋" w:hAnsi="仿宋" w:cs="仿宋"/>
          <w:b w:val="0"/>
          <w:bCs/>
          <w:sz w:val="32"/>
          <w:szCs w:val="32"/>
          <w:u w:val="none"/>
        </w:rPr>
      </w:pPr>
      <w:r w:rsidRPr="00A01F87">
        <w:rPr>
          <w:rFonts w:ascii="仿宋" w:eastAsia="仿宋" w:hAnsi="仿宋" w:cs="仿宋" w:hint="eastAsia"/>
          <w:b w:val="0"/>
          <w:bCs/>
          <w:sz w:val="32"/>
          <w:szCs w:val="32"/>
          <w:u w:val="none"/>
        </w:rPr>
        <w:t>（一）自然人科技特派员:原则上需具备中级（含中级）以上专业技术职称（或硕士以上学历），具有相关科技成果、科技服务经验。</w:t>
      </w:r>
    </w:p>
    <w:p w:rsidR="00A01F87" w:rsidRDefault="00A01F87" w:rsidP="00A01F87">
      <w:pPr>
        <w:spacing w:line="560" w:lineRule="exact"/>
        <w:ind w:firstLineChars="200" w:firstLine="640"/>
        <w:rPr>
          <w:rFonts w:ascii="仿宋" w:eastAsia="仿宋" w:hAnsi="仿宋" w:cs="仿宋"/>
          <w:b w:val="0"/>
          <w:bCs/>
          <w:sz w:val="32"/>
          <w:szCs w:val="32"/>
          <w:u w:val="none"/>
        </w:rPr>
      </w:pPr>
      <w:r w:rsidRPr="00A01F87">
        <w:rPr>
          <w:rFonts w:ascii="仿宋" w:eastAsia="仿宋" w:hAnsi="仿宋" w:cs="仿宋" w:hint="eastAsia"/>
          <w:b w:val="0"/>
          <w:bCs/>
          <w:sz w:val="32"/>
          <w:szCs w:val="32"/>
          <w:u w:val="none"/>
        </w:rPr>
        <w:t>（二）法人科技特派员团队：以科技人员联合体或法人科技特派员的形式，发挥高校、科研院所、专业合作组织、</w:t>
      </w:r>
      <w:proofErr w:type="gramStart"/>
      <w:r w:rsidRPr="00A01F87">
        <w:rPr>
          <w:rFonts w:ascii="仿宋" w:eastAsia="仿宋" w:hAnsi="仿宋" w:cs="仿宋" w:hint="eastAsia"/>
          <w:b w:val="0"/>
          <w:bCs/>
          <w:sz w:val="32"/>
          <w:szCs w:val="32"/>
          <w:u w:val="none"/>
        </w:rPr>
        <w:t>星创天地</w:t>
      </w:r>
      <w:proofErr w:type="gramEnd"/>
      <w:r w:rsidRPr="00A01F87">
        <w:rPr>
          <w:rFonts w:ascii="仿宋" w:eastAsia="仿宋" w:hAnsi="仿宋" w:cs="仿宋" w:hint="eastAsia"/>
          <w:b w:val="0"/>
          <w:bCs/>
          <w:sz w:val="32"/>
          <w:szCs w:val="32"/>
          <w:u w:val="none"/>
        </w:rPr>
        <w:t>等单位整体优势，以推进当地产业发展为目标，开展公益科技服务和创新创业。</w:t>
      </w:r>
    </w:p>
    <w:p w:rsidR="00A01F87" w:rsidRDefault="00A01F87" w:rsidP="00A01F87">
      <w:pPr>
        <w:spacing w:line="560" w:lineRule="exact"/>
        <w:ind w:firstLineChars="200" w:firstLine="640"/>
        <w:rPr>
          <w:rFonts w:ascii="仿宋" w:eastAsia="仿宋" w:hAnsi="仿宋" w:cs="仿宋"/>
          <w:b w:val="0"/>
          <w:bCs/>
          <w:sz w:val="32"/>
          <w:szCs w:val="32"/>
          <w:u w:val="none"/>
        </w:rPr>
      </w:pPr>
      <w:r w:rsidRPr="00A01F87">
        <w:rPr>
          <w:rFonts w:ascii="仿宋" w:eastAsia="仿宋" w:hAnsi="仿宋" w:cs="仿宋" w:hint="eastAsia"/>
          <w:b w:val="0"/>
          <w:bCs/>
          <w:sz w:val="32"/>
          <w:szCs w:val="32"/>
          <w:u w:val="none"/>
        </w:rPr>
        <w:t>（三）已经与服务单位结对，开展实质性科技服务。</w:t>
      </w:r>
    </w:p>
    <w:p w:rsidR="00972BE0" w:rsidRPr="00A029B3" w:rsidRDefault="00972BE0" w:rsidP="00A029B3">
      <w:pPr>
        <w:pStyle w:val="a8"/>
        <w:numPr>
          <w:ilvl w:val="0"/>
          <w:numId w:val="1"/>
        </w:numPr>
        <w:spacing w:line="560" w:lineRule="exact"/>
        <w:ind w:firstLineChars="0"/>
        <w:rPr>
          <w:rFonts w:ascii="黑体" w:eastAsia="黑体" w:hAnsi="黑体" w:cs="仿宋"/>
          <w:b w:val="0"/>
          <w:bCs/>
          <w:sz w:val="32"/>
          <w:szCs w:val="32"/>
          <w:u w:val="none"/>
        </w:rPr>
      </w:pPr>
      <w:r w:rsidRPr="00A029B3">
        <w:rPr>
          <w:rFonts w:ascii="黑体" w:eastAsia="黑体" w:hAnsi="黑体" w:cs="仿宋" w:hint="eastAsia"/>
          <w:b w:val="0"/>
          <w:bCs/>
          <w:sz w:val="32"/>
          <w:szCs w:val="32"/>
          <w:u w:val="none"/>
        </w:rPr>
        <w:lastRenderedPageBreak/>
        <w:t>选认工作方式</w:t>
      </w:r>
    </w:p>
    <w:p w:rsidR="00972BE0" w:rsidRPr="00972BE0" w:rsidRDefault="00972BE0" w:rsidP="00972BE0">
      <w:pPr>
        <w:spacing w:line="560" w:lineRule="exact"/>
        <w:ind w:firstLineChars="200" w:firstLine="640"/>
        <w:rPr>
          <w:rFonts w:ascii="仿宋" w:eastAsia="仿宋" w:hAnsi="仿宋" w:cs="仿宋"/>
          <w:b w:val="0"/>
          <w:bCs/>
          <w:sz w:val="32"/>
          <w:szCs w:val="32"/>
          <w:u w:val="none"/>
        </w:rPr>
      </w:pPr>
      <w:r w:rsidRPr="00972BE0">
        <w:rPr>
          <w:rFonts w:ascii="仿宋" w:eastAsia="仿宋" w:hAnsi="仿宋" w:cs="仿宋" w:hint="eastAsia"/>
          <w:b w:val="0"/>
          <w:bCs/>
          <w:sz w:val="32"/>
          <w:szCs w:val="32"/>
          <w:u w:val="none"/>
        </w:rPr>
        <w:t>科技特派员或团队每年认定一次，任期至少一年，可连选连任。由服务单位所在县（市、区）科技主管部门负责选拔推荐，报泉州市科技特派员联席会议办公室（市科技局）认定。</w:t>
      </w:r>
    </w:p>
    <w:p w:rsidR="00972BE0" w:rsidRPr="00A029B3" w:rsidRDefault="00972BE0" w:rsidP="00A029B3">
      <w:pPr>
        <w:pStyle w:val="a8"/>
        <w:numPr>
          <w:ilvl w:val="0"/>
          <w:numId w:val="1"/>
        </w:numPr>
        <w:spacing w:line="560" w:lineRule="exact"/>
        <w:ind w:firstLineChars="0"/>
        <w:rPr>
          <w:rFonts w:ascii="黑体" w:eastAsia="黑体" w:hAnsi="黑体" w:cs="仿宋"/>
          <w:b w:val="0"/>
          <w:bCs/>
          <w:sz w:val="32"/>
          <w:szCs w:val="32"/>
          <w:u w:val="none"/>
        </w:rPr>
      </w:pPr>
      <w:r w:rsidRPr="00A029B3">
        <w:rPr>
          <w:rFonts w:ascii="黑体" w:eastAsia="黑体" w:hAnsi="黑体" w:cs="仿宋" w:hint="eastAsia"/>
          <w:b w:val="0"/>
          <w:bCs/>
          <w:sz w:val="32"/>
          <w:szCs w:val="32"/>
          <w:u w:val="none"/>
        </w:rPr>
        <w:t>经费支持方式</w:t>
      </w:r>
    </w:p>
    <w:p w:rsidR="00972BE0" w:rsidRPr="00972BE0" w:rsidRDefault="00972BE0" w:rsidP="00972BE0">
      <w:pPr>
        <w:spacing w:line="560" w:lineRule="exact"/>
        <w:ind w:firstLineChars="200" w:firstLine="640"/>
        <w:rPr>
          <w:rFonts w:ascii="仿宋" w:eastAsia="仿宋" w:hAnsi="仿宋" w:cs="仿宋"/>
          <w:b w:val="0"/>
          <w:bCs/>
          <w:sz w:val="32"/>
          <w:szCs w:val="32"/>
          <w:u w:val="none"/>
        </w:rPr>
      </w:pPr>
      <w:r w:rsidRPr="00972BE0">
        <w:rPr>
          <w:rFonts w:ascii="仿宋" w:eastAsia="仿宋" w:hAnsi="仿宋" w:cs="仿宋" w:hint="eastAsia"/>
          <w:b w:val="0"/>
          <w:bCs/>
          <w:sz w:val="32"/>
          <w:szCs w:val="32"/>
          <w:u w:val="none"/>
        </w:rPr>
        <w:t>（一）申请对象：2018年来已开展实质性科技服务的科技人员，经县（市、区）科技主管部门审核符合科技特派员推荐条件的，均可申请2019年度科技特派员工作经费。</w:t>
      </w:r>
    </w:p>
    <w:p w:rsidR="00972BE0" w:rsidRDefault="00972BE0" w:rsidP="00972BE0">
      <w:pPr>
        <w:spacing w:line="560" w:lineRule="exact"/>
        <w:ind w:firstLineChars="200" w:firstLine="640"/>
        <w:rPr>
          <w:rFonts w:ascii="仿宋" w:eastAsia="仿宋" w:hAnsi="仿宋" w:cs="仿宋"/>
          <w:b w:val="0"/>
          <w:bCs/>
          <w:sz w:val="32"/>
          <w:szCs w:val="32"/>
          <w:u w:val="none"/>
        </w:rPr>
      </w:pPr>
      <w:r w:rsidRPr="00972BE0">
        <w:rPr>
          <w:rFonts w:ascii="仿宋" w:eastAsia="仿宋" w:hAnsi="仿宋" w:cs="仿宋" w:hint="eastAsia"/>
          <w:b w:val="0"/>
          <w:bCs/>
          <w:sz w:val="32"/>
          <w:szCs w:val="32"/>
          <w:u w:val="none"/>
        </w:rPr>
        <w:t>（二）补助标准：自然人科技特派员补助1万元，法人科技特派员团队补助5万元。</w:t>
      </w:r>
      <w:bookmarkStart w:id="0" w:name="_GoBack"/>
      <w:bookmarkEnd w:id="0"/>
    </w:p>
    <w:p w:rsidR="00A029B3" w:rsidRPr="00A029B3" w:rsidRDefault="00A029B3" w:rsidP="00A029B3">
      <w:pPr>
        <w:pStyle w:val="a8"/>
        <w:numPr>
          <w:ilvl w:val="0"/>
          <w:numId w:val="1"/>
        </w:numPr>
        <w:spacing w:line="560" w:lineRule="exact"/>
        <w:ind w:firstLineChars="0"/>
        <w:rPr>
          <w:rFonts w:ascii="黑体" w:eastAsia="黑体" w:hAnsi="黑体" w:cs="仿宋"/>
          <w:b w:val="0"/>
          <w:bCs/>
          <w:sz w:val="32"/>
          <w:szCs w:val="32"/>
          <w:u w:val="none"/>
        </w:rPr>
      </w:pPr>
      <w:r w:rsidRPr="00A029B3">
        <w:rPr>
          <w:rFonts w:ascii="黑体" w:eastAsia="黑体" w:hAnsi="黑体" w:cs="仿宋" w:hint="eastAsia"/>
          <w:b w:val="0"/>
          <w:bCs/>
          <w:sz w:val="32"/>
          <w:szCs w:val="32"/>
          <w:u w:val="none"/>
        </w:rPr>
        <w:t>选认工作流程</w:t>
      </w:r>
    </w:p>
    <w:p w:rsidR="00A029B3" w:rsidRDefault="00A029B3" w:rsidP="00A029B3">
      <w:pPr>
        <w:spacing w:line="560" w:lineRule="exact"/>
        <w:ind w:firstLineChars="200" w:firstLine="640"/>
        <w:rPr>
          <w:rFonts w:ascii="仿宋" w:eastAsia="仿宋" w:hAnsi="仿宋" w:cs="仿宋"/>
          <w:b w:val="0"/>
          <w:bCs/>
          <w:sz w:val="32"/>
          <w:szCs w:val="32"/>
          <w:u w:val="none"/>
        </w:rPr>
      </w:pPr>
      <w:r w:rsidRPr="00A029B3">
        <w:rPr>
          <w:rFonts w:ascii="仿宋" w:eastAsia="仿宋" w:hAnsi="仿宋" w:cs="仿宋" w:hint="eastAsia"/>
          <w:b w:val="0"/>
          <w:bCs/>
          <w:sz w:val="32"/>
          <w:szCs w:val="32"/>
          <w:u w:val="none"/>
        </w:rPr>
        <w:t>申报对象填报《泉州市科技特派员选认和工作经费申请表》、《泉州市团体（法人）科技特派员选认和工作经费申请表》，并附上科技特派员选认三方协议书和专业技术职称证书一式</w:t>
      </w:r>
      <w:r w:rsidR="000962B6">
        <w:rPr>
          <w:rFonts w:ascii="仿宋" w:eastAsia="仿宋" w:hAnsi="仿宋" w:cs="仿宋" w:hint="eastAsia"/>
          <w:b w:val="0"/>
          <w:bCs/>
          <w:sz w:val="32"/>
          <w:szCs w:val="32"/>
          <w:u w:val="none"/>
        </w:rPr>
        <w:t>3</w:t>
      </w:r>
      <w:r w:rsidRPr="00A029B3">
        <w:rPr>
          <w:rFonts w:ascii="仿宋" w:eastAsia="仿宋" w:hAnsi="仿宋" w:cs="仿宋" w:hint="eastAsia"/>
          <w:b w:val="0"/>
          <w:bCs/>
          <w:sz w:val="32"/>
          <w:szCs w:val="32"/>
          <w:u w:val="none"/>
        </w:rPr>
        <w:t>份，详细填写科技特派员(团队)基本情况、服务对象、服务内容和工作经费申请事项</w:t>
      </w:r>
      <w:r w:rsidR="001566AA">
        <w:rPr>
          <w:rFonts w:ascii="仿宋" w:eastAsia="仿宋" w:hAnsi="仿宋" w:cs="仿宋" w:hint="eastAsia"/>
          <w:b w:val="0"/>
          <w:bCs/>
          <w:sz w:val="32"/>
          <w:szCs w:val="32"/>
          <w:u w:val="none"/>
        </w:rPr>
        <w:t>,</w:t>
      </w:r>
      <w:r w:rsidR="001566AA" w:rsidRPr="001566AA">
        <w:rPr>
          <w:rFonts w:ascii="仿宋" w:eastAsia="仿宋" w:hAnsi="仿宋" w:cs="仿宋" w:hint="eastAsia"/>
          <w:b w:val="0"/>
          <w:bCs/>
          <w:sz w:val="32"/>
          <w:szCs w:val="32"/>
          <w:u w:val="none"/>
        </w:rPr>
        <w:t xml:space="preserve"> </w:t>
      </w:r>
      <w:r w:rsidR="001566AA">
        <w:rPr>
          <w:rFonts w:ascii="仿宋" w:eastAsia="仿宋" w:hAnsi="仿宋" w:cs="仿宋" w:hint="eastAsia"/>
          <w:b w:val="0"/>
          <w:bCs/>
          <w:sz w:val="32"/>
          <w:szCs w:val="32"/>
          <w:u w:val="none"/>
        </w:rPr>
        <w:t>申报对象请于2019年9月9日前将纸质</w:t>
      </w:r>
      <w:proofErr w:type="gramStart"/>
      <w:r w:rsidR="001566AA">
        <w:rPr>
          <w:rFonts w:ascii="仿宋" w:eastAsia="仿宋" w:hAnsi="仿宋" w:cs="仿宋" w:hint="eastAsia"/>
          <w:b w:val="0"/>
          <w:bCs/>
          <w:sz w:val="32"/>
          <w:szCs w:val="32"/>
          <w:u w:val="none"/>
        </w:rPr>
        <w:t>版材料</w:t>
      </w:r>
      <w:proofErr w:type="gramEnd"/>
      <w:r>
        <w:rPr>
          <w:rFonts w:ascii="仿宋" w:eastAsia="仿宋" w:hAnsi="仿宋" w:cs="仿宋" w:hint="eastAsia"/>
          <w:b w:val="0"/>
          <w:bCs/>
          <w:sz w:val="32"/>
          <w:szCs w:val="32"/>
          <w:u w:val="none"/>
        </w:rPr>
        <w:t>报至科研处</w:t>
      </w:r>
      <w:r w:rsidR="00504501">
        <w:rPr>
          <w:rFonts w:ascii="仿宋" w:eastAsia="仿宋" w:hAnsi="仿宋" w:cs="仿宋" w:hint="eastAsia"/>
          <w:b w:val="0"/>
          <w:bCs/>
          <w:sz w:val="32"/>
          <w:szCs w:val="32"/>
          <w:u w:val="none"/>
        </w:rPr>
        <w:t>，电子版请发送至</w:t>
      </w:r>
      <w:r w:rsidR="00A54C23">
        <w:rPr>
          <w:rFonts w:ascii="仿宋" w:eastAsia="仿宋" w:hAnsi="仿宋" w:cs="仿宋" w:hint="eastAsia"/>
          <w:b w:val="0"/>
          <w:bCs/>
          <w:sz w:val="32"/>
          <w:szCs w:val="32"/>
          <w:u w:val="none"/>
        </w:rPr>
        <w:t>邮箱</w:t>
      </w:r>
      <w:r w:rsidR="00504501">
        <w:rPr>
          <w:rFonts w:ascii="仿宋" w:eastAsia="仿宋" w:hAnsi="仿宋" w:cs="仿宋" w:hint="eastAsia"/>
          <w:b w:val="0"/>
          <w:bCs/>
          <w:sz w:val="32"/>
          <w:szCs w:val="32"/>
          <w:u w:val="none"/>
        </w:rPr>
        <w:t>329436752@qq.com</w:t>
      </w:r>
      <w:r w:rsidRPr="00A029B3">
        <w:rPr>
          <w:rFonts w:ascii="仿宋" w:eastAsia="仿宋" w:hAnsi="仿宋" w:cs="仿宋" w:hint="eastAsia"/>
          <w:b w:val="0"/>
          <w:bCs/>
          <w:sz w:val="32"/>
          <w:szCs w:val="32"/>
          <w:u w:val="none"/>
        </w:rPr>
        <w:t>。</w:t>
      </w:r>
    </w:p>
    <w:p w:rsidR="00A029B3" w:rsidRPr="00A029B3" w:rsidRDefault="00A029B3" w:rsidP="00A029B3">
      <w:pPr>
        <w:pStyle w:val="a8"/>
        <w:numPr>
          <w:ilvl w:val="0"/>
          <w:numId w:val="1"/>
        </w:numPr>
        <w:spacing w:line="560" w:lineRule="exact"/>
        <w:ind w:firstLineChars="0"/>
        <w:rPr>
          <w:rFonts w:ascii="黑体" w:eastAsia="黑体" w:hAnsi="黑体" w:cs="仿宋"/>
          <w:b w:val="0"/>
          <w:bCs/>
          <w:sz w:val="32"/>
          <w:szCs w:val="32"/>
          <w:u w:val="none"/>
        </w:rPr>
      </w:pPr>
      <w:r w:rsidRPr="00A029B3">
        <w:rPr>
          <w:rFonts w:ascii="黑体" w:eastAsia="黑体" w:hAnsi="黑体" w:cs="仿宋" w:hint="eastAsia"/>
          <w:b w:val="0"/>
          <w:bCs/>
          <w:sz w:val="32"/>
          <w:szCs w:val="32"/>
          <w:u w:val="none"/>
        </w:rPr>
        <w:t>其它要求事项</w:t>
      </w:r>
    </w:p>
    <w:p w:rsidR="00A029B3" w:rsidRPr="00A029B3" w:rsidRDefault="00A029B3" w:rsidP="00A029B3">
      <w:pPr>
        <w:spacing w:line="560" w:lineRule="exact"/>
        <w:ind w:firstLineChars="200" w:firstLine="640"/>
        <w:rPr>
          <w:rFonts w:ascii="仿宋" w:eastAsia="仿宋" w:hAnsi="仿宋" w:cs="仿宋"/>
          <w:b w:val="0"/>
          <w:bCs/>
          <w:sz w:val="32"/>
          <w:szCs w:val="32"/>
          <w:u w:val="none"/>
        </w:rPr>
      </w:pPr>
      <w:r w:rsidRPr="00A029B3">
        <w:rPr>
          <w:rFonts w:ascii="仿宋" w:eastAsia="仿宋" w:hAnsi="仿宋" w:cs="仿宋" w:hint="eastAsia"/>
          <w:b w:val="0"/>
          <w:bCs/>
          <w:sz w:val="32"/>
          <w:szCs w:val="32"/>
          <w:u w:val="none"/>
        </w:rPr>
        <w:t>已被认定为2018年省级科技特派员的无需重新申报，直接认定为市级科技特派员。同</w:t>
      </w:r>
      <w:proofErr w:type="gramStart"/>
      <w:r w:rsidRPr="00A029B3">
        <w:rPr>
          <w:rFonts w:ascii="仿宋" w:eastAsia="仿宋" w:hAnsi="仿宋" w:cs="仿宋" w:hint="eastAsia"/>
          <w:b w:val="0"/>
          <w:bCs/>
          <w:sz w:val="32"/>
          <w:szCs w:val="32"/>
          <w:u w:val="none"/>
        </w:rPr>
        <w:t>一</w:t>
      </w:r>
      <w:proofErr w:type="gramEnd"/>
      <w:r w:rsidRPr="00A029B3">
        <w:rPr>
          <w:rFonts w:ascii="仿宋" w:eastAsia="仿宋" w:hAnsi="仿宋" w:cs="仿宋" w:hint="eastAsia"/>
          <w:b w:val="0"/>
          <w:bCs/>
          <w:sz w:val="32"/>
          <w:szCs w:val="32"/>
          <w:u w:val="none"/>
        </w:rPr>
        <w:t>年度内已获得省级科技特派员工作经费补助的不重复享受市级科技特派员工作经费补助。</w:t>
      </w:r>
    </w:p>
    <w:p w:rsidR="00A54C23" w:rsidRDefault="00A54C23" w:rsidP="00A029B3">
      <w:pPr>
        <w:spacing w:line="560" w:lineRule="exact"/>
        <w:ind w:firstLineChars="1250" w:firstLine="4000"/>
        <w:jc w:val="center"/>
        <w:rPr>
          <w:rFonts w:ascii="仿宋" w:eastAsia="仿宋" w:hAnsi="仿宋" w:cs="仿宋"/>
          <w:b w:val="0"/>
          <w:bCs/>
          <w:sz w:val="32"/>
          <w:szCs w:val="32"/>
          <w:u w:val="none"/>
        </w:rPr>
      </w:pPr>
    </w:p>
    <w:p w:rsidR="008C538D" w:rsidRDefault="00C0590D">
      <w:pPr>
        <w:spacing w:line="560" w:lineRule="exact"/>
        <w:ind w:firstLineChars="1250" w:firstLine="4000"/>
        <w:jc w:val="center"/>
        <w:rPr>
          <w:rFonts w:ascii="仿宋" w:eastAsia="仿宋" w:hAnsi="仿宋" w:cs="仿宋"/>
          <w:b w:val="0"/>
          <w:bCs/>
          <w:sz w:val="32"/>
          <w:szCs w:val="32"/>
          <w:u w:val="none"/>
        </w:rPr>
      </w:pPr>
      <w:r>
        <w:rPr>
          <w:rFonts w:ascii="仿宋" w:eastAsia="仿宋" w:hAnsi="仿宋" w:cs="仿宋" w:hint="eastAsia"/>
          <w:b w:val="0"/>
          <w:bCs/>
          <w:sz w:val="32"/>
          <w:szCs w:val="32"/>
          <w:u w:val="none"/>
        </w:rPr>
        <w:t xml:space="preserve">     科研处</w:t>
      </w:r>
    </w:p>
    <w:p w:rsidR="008C538D" w:rsidRDefault="00C0590D">
      <w:pPr>
        <w:spacing w:line="560" w:lineRule="exact"/>
        <w:ind w:firstLineChars="1850" w:firstLine="5920"/>
        <w:rPr>
          <w:rFonts w:ascii="仿宋" w:eastAsia="仿宋" w:hAnsi="仿宋" w:cs="仿宋"/>
          <w:b w:val="0"/>
          <w:bCs/>
          <w:sz w:val="32"/>
          <w:szCs w:val="32"/>
          <w:u w:val="none"/>
        </w:rPr>
      </w:pPr>
      <w:r>
        <w:rPr>
          <w:rFonts w:ascii="仿宋" w:eastAsia="仿宋" w:hAnsi="仿宋" w:cs="仿宋" w:hint="eastAsia"/>
          <w:b w:val="0"/>
          <w:bCs/>
          <w:sz w:val="32"/>
          <w:szCs w:val="32"/>
          <w:u w:val="none"/>
        </w:rPr>
        <w:t>2019年8月</w:t>
      </w:r>
      <w:r w:rsidR="00A54C23">
        <w:rPr>
          <w:rFonts w:ascii="仿宋" w:eastAsia="仿宋" w:hAnsi="仿宋" w:cs="仿宋" w:hint="eastAsia"/>
          <w:b w:val="0"/>
          <w:bCs/>
          <w:sz w:val="32"/>
          <w:szCs w:val="32"/>
          <w:u w:val="none"/>
        </w:rPr>
        <w:t>20</w:t>
      </w:r>
      <w:r>
        <w:rPr>
          <w:rFonts w:ascii="仿宋" w:eastAsia="仿宋" w:hAnsi="仿宋" w:cs="仿宋" w:hint="eastAsia"/>
          <w:b w:val="0"/>
          <w:bCs/>
          <w:sz w:val="32"/>
          <w:szCs w:val="32"/>
          <w:u w:val="none"/>
        </w:rPr>
        <w:t>日</w:t>
      </w:r>
    </w:p>
    <w:sectPr w:rsidR="008C538D">
      <w:pgSz w:w="11906" w:h="16838"/>
      <w:pgMar w:top="1440" w:right="1191" w:bottom="1440" w:left="119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B80" w:rsidRDefault="00723B80" w:rsidP="00FE3B3A">
      <w:r>
        <w:separator/>
      </w:r>
    </w:p>
  </w:endnote>
  <w:endnote w:type="continuationSeparator" w:id="0">
    <w:p w:rsidR="00723B80" w:rsidRDefault="00723B80" w:rsidP="00FE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B80" w:rsidRDefault="00723B80" w:rsidP="00FE3B3A">
      <w:r>
        <w:separator/>
      </w:r>
    </w:p>
  </w:footnote>
  <w:footnote w:type="continuationSeparator" w:id="0">
    <w:p w:rsidR="00723B80" w:rsidRDefault="00723B80" w:rsidP="00FE3B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81BDF"/>
    <w:multiLevelType w:val="hybridMultilevel"/>
    <w:tmpl w:val="7AFEC860"/>
    <w:lvl w:ilvl="0" w:tplc="388C9DA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75FA5"/>
    <w:rsid w:val="00073470"/>
    <w:rsid w:val="000962B6"/>
    <w:rsid w:val="001566AA"/>
    <w:rsid w:val="004D197B"/>
    <w:rsid w:val="00501F6D"/>
    <w:rsid w:val="00504501"/>
    <w:rsid w:val="005E75FE"/>
    <w:rsid w:val="006449D6"/>
    <w:rsid w:val="00723B80"/>
    <w:rsid w:val="007B515E"/>
    <w:rsid w:val="0088449E"/>
    <w:rsid w:val="008C538D"/>
    <w:rsid w:val="00972BE0"/>
    <w:rsid w:val="00A01F87"/>
    <w:rsid w:val="00A029B3"/>
    <w:rsid w:val="00A26232"/>
    <w:rsid w:val="00A54C23"/>
    <w:rsid w:val="00A62118"/>
    <w:rsid w:val="00B2709E"/>
    <w:rsid w:val="00B8060F"/>
    <w:rsid w:val="00C0590D"/>
    <w:rsid w:val="00C735A6"/>
    <w:rsid w:val="00D22723"/>
    <w:rsid w:val="00D936D4"/>
    <w:rsid w:val="00EB2CE7"/>
    <w:rsid w:val="00FE3B3A"/>
    <w:rsid w:val="02A022BC"/>
    <w:rsid w:val="03D43972"/>
    <w:rsid w:val="048D31D6"/>
    <w:rsid w:val="05893BF7"/>
    <w:rsid w:val="073C45EB"/>
    <w:rsid w:val="0C1C05AF"/>
    <w:rsid w:val="103A04D4"/>
    <w:rsid w:val="112615D9"/>
    <w:rsid w:val="1550305D"/>
    <w:rsid w:val="15E718B2"/>
    <w:rsid w:val="17B55E1A"/>
    <w:rsid w:val="1A0152BD"/>
    <w:rsid w:val="1F144452"/>
    <w:rsid w:val="21E1726B"/>
    <w:rsid w:val="225A2216"/>
    <w:rsid w:val="240019AE"/>
    <w:rsid w:val="2483423B"/>
    <w:rsid w:val="27364C5F"/>
    <w:rsid w:val="2F90750B"/>
    <w:rsid w:val="31700513"/>
    <w:rsid w:val="386A4320"/>
    <w:rsid w:val="398E7BC9"/>
    <w:rsid w:val="39F6067B"/>
    <w:rsid w:val="3A691882"/>
    <w:rsid w:val="3BEE1909"/>
    <w:rsid w:val="3C784EC2"/>
    <w:rsid w:val="3CB33245"/>
    <w:rsid w:val="42A30AD3"/>
    <w:rsid w:val="4506646B"/>
    <w:rsid w:val="45A36261"/>
    <w:rsid w:val="46B03E4B"/>
    <w:rsid w:val="48F55420"/>
    <w:rsid w:val="4A7A1E69"/>
    <w:rsid w:val="50526349"/>
    <w:rsid w:val="505602D5"/>
    <w:rsid w:val="52352F67"/>
    <w:rsid w:val="52C51A67"/>
    <w:rsid w:val="54460DE4"/>
    <w:rsid w:val="57135E4A"/>
    <w:rsid w:val="585A1D5F"/>
    <w:rsid w:val="5B1607DE"/>
    <w:rsid w:val="5CE65A6A"/>
    <w:rsid w:val="60D32344"/>
    <w:rsid w:val="640972D0"/>
    <w:rsid w:val="64574D14"/>
    <w:rsid w:val="6696605F"/>
    <w:rsid w:val="66CC5D14"/>
    <w:rsid w:val="6C40196F"/>
    <w:rsid w:val="6CBA1855"/>
    <w:rsid w:val="6D1F6713"/>
    <w:rsid w:val="6D691309"/>
    <w:rsid w:val="6EBD3932"/>
    <w:rsid w:val="70375FA5"/>
    <w:rsid w:val="70B02DD9"/>
    <w:rsid w:val="713A3DF3"/>
    <w:rsid w:val="71A77B00"/>
    <w:rsid w:val="72BE6D8B"/>
    <w:rsid w:val="73760E54"/>
    <w:rsid w:val="74EF3FAA"/>
    <w:rsid w:val="7B175B60"/>
    <w:rsid w:val="7DA80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b/>
      <w:kern w:val="2"/>
      <w:sz w:val="36"/>
      <w:szCs w:val="36"/>
      <w:u w:val="single"/>
    </w:rPr>
  </w:style>
  <w:style w:type="paragraph" w:styleId="1">
    <w:name w:val="heading 1"/>
    <w:basedOn w:val="a"/>
    <w:next w:val="a"/>
    <w:qFormat/>
    <w:pPr>
      <w:spacing w:beforeAutospacing="1" w:afterAutospacing="1"/>
      <w:jc w:val="left"/>
      <w:outlineLvl w:val="0"/>
    </w:pPr>
    <w:rPr>
      <w:rFonts w:ascii="宋体" w:eastAsia="宋体" w:hAnsi="宋体" w:cs="Times New Roman" w:hint="eastAsia"/>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Hyperlink"/>
    <w:basedOn w:val="a0"/>
    <w:qFormat/>
    <w:rPr>
      <w:color w:val="0000FF"/>
      <w:u w:val="single"/>
    </w:rPr>
  </w:style>
  <w:style w:type="paragraph" w:styleId="a6">
    <w:name w:val="header"/>
    <w:basedOn w:val="a"/>
    <w:link w:val="Char"/>
    <w:rsid w:val="00FE3B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FE3B3A"/>
    <w:rPr>
      <w:b/>
      <w:kern w:val="2"/>
      <w:sz w:val="18"/>
      <w:szCs w:val="18"/>
      <w:u w:val="single"/>
    </w:rPr>
  </w:style>
  <w:style w:type="paragraph" w:styleId="a7">
    <w:name w:val="footer"/>
    <w:basedOn w:val="a"/>
    <w:link w:val="Char0"/>
    <w:rsid w:val="00FE3B3A"/>
    <w:pPr>
      <w:tabs>
        <w:tab w:val="center" w:pos="4153"/>
        <w:tab w:val="right" w:pos="8306"/>
      </w:tabs>
      <w:snapToGrid w:val="0"/>
      <w:jc w:val="left"/>
    </w:pPr>
    <w:rPr>
      <w:sz w:val="18"/>
      <w:szCs w:val="18"/>
    </w:rPr>
  </w:style>
  <w:style w:type="character" w:customStyle="1" w:styleId="Char0">
    <w:name w:val="页脚 Char"/>
    <w:basedOn w:val="a0"/>
    <w:link w:val="a7"/>
    <w:rsid w:val="00FE3B3A"/>
    <w:rPr>
      <w:b/>
      <w:kern w:val="2"/>
      <w:sz w:val="18"/>
      <w:szCs w:val="18"/>
      <w:u w:val="single"/>
    </w:rPr>
  </w:style>
  <w:style w:type="paragraph" w:styleId="a8">
    <w:name w:val="List Paragraph"/>
    <w:basedOn w:val="a"/>
    <w:uiPriority w:val="99"/>
    <w:unhideWhenUsed/>
    <w:rsid w:val="00A01F8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b/>
      <w:kern w:val="2"/>
      <w:sz w:val="36"/>
      <w:szCs w:val="36"/>
      <w:u w:val="single"/>
    </w:rPr>
  </w:style>
  <w:style w:type="paragraph" w:styleId="1">
    <w:name w:val="heading 1"/>
    <w:basedOn w:val="a"/>
    <w:next w:val="a"/>
    <w:qFormat/>
    <w:pPr>
      <w:spacing w:beforeAutospacing="1" w:afterAutospacing="1"/>
      <w:jc w:val="left"/>
      <w:outlineLvl w:val="0"/>
    </w:pPr>
    <w:rPr>
      <w:rFonts w:ascii="宋体" w:eastAsia="宋体" w:hAnsi="宋体" w:cs="Times New Roman" w:hint="eastAsia"/>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Hyperlink"/>
    <w:basedOn w:val="a0"/>
    <w:qFormat/>
    <w:rPr>
      <w:color w:val="0000FF"/>
      <w:u w:val="single"/>
    </w:rPr>
  </w:style>
  <w:style w:type="paragraph" w:styleId="a6">
    <w:name w:val="header"/>
    <w:basedOn w:val="a"/>
    <w:link w:val="Char"/>
    <w:rsid w:val="00FE3B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FE3B3A"/>
    <w:rPr>
      <w:b/>
      <w:kern w:val="2"/>
      <w:sz w:val="18"/>
      <w:szCs w:val="18"/>
      <w:u w:val="single"/>
    </w:rPr>
  </w:style>
  <w:style w:type="paragraph" w:styleId="a7">
    <w:name w:val="footer"/>
    <w:basedOn w:val="a"/>
    <w:link w:val="Char0"/>
    <w:rsid w:val="00FE3B3A"/>
    <w:pPr>
      <w:tabs>
        <w:tab w:val="center" w:pos="4153"/>
        <w:tab w:val="right" w:pos="8306"/>
      </w:tabs>
      <w:snapToGrid w:val="0"/>
      <w:jc w:val="left"/>
    </w:pPr>
    <w:rPr>
      <w:sz w:val="18"/>
      <w:szCs w:val="18"/>
    </w:rPr>
  </w:style>
  <w:style w:type="character" w:customStyle="1" w:styleId="Char0">
    <w:name w:val="页脚 Char"/>
    <w:basedOn w:val="a0"/>
    <w:link w:val="a7"/>
    <w:rsid w:val="00FE3B3A"/>
    <w:rPr>
      <w:b/>
      <w:kern w:val="2"/>
      <w:sz w:val="18"/>
      <w:szCs w:val="18"/>
      <w:u w:val="single"/>
    </w:rPr>
  </w:style>
  <w:style w:type="paragraph" w:styleId="a8">
    <w:name w:val="List Paragraph"/>
    <w:basedOn w:val="a"/>
    <w:uiPriority w:val="99"/>
    <w:unhideWhenUsed/>
    <w:rsid w:val="00A01F8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13C544-1E7D-4C28-934A-F47B7E11B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142</Words>
  <Characters>812</Characters>
  <Application>Microsoft Office Word</Application>
  <DocSecurity>0</DocSecurity>
  <Lines>6</Lines>
  <Paragraphs>1</Paragraphs>
  <ScaleCrop>false</ScaleCrop>
  <Company>china</Company>
  <LinksUpToDate>false</LinksUpToDate>
  <CharactersWithSpaces>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青花</dc:creator>
  <cp:lastModifiedBy>AutoBVT</cp:lastModifiedBy>
  <cp:revision>18</cp:revision>
  <cp:lastPrinted>2018-12-26T19:59:00Z</cp:lastPrinted>
  <dcterms:created xsi:type="dcterms:W3CDTF">2018-12-19T08:01:00Z</dcterms:created>
  <dcterms:modified xsi:type="dcterms:W3CDTF">2019-08-20T03:23:00Z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